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C" w:rsidRDefault="00801FEC" w:rsidP="00D83155"/>
    <w:p w:rsidR="00D83155" w:rsidRDefault="00D83155" w:rsidP="00D83155">
      <w:r w:rsidRPr="00D83155">
        <w:t>March 26</w:t>
      </w:r>
      <w:r w:rsidRPr="00D83155">
        <w:rPr>
          <w:vertAlign w:val="superscript"/>
        </w:rPr>
        <w:t>th</w:t>
      </w:r>
      <w:r w:rsidRPr="00D83155">
        <w:t>, 2019</w:t>
      </w:r>
    </w:p>
    <w:p w:rsidR="00801FEC" w:rsidRDefault="00801FEC" w:rsidP="00D83155">
      <w:pPr>
        <w:jc w:val="center"/>
        <w:rPr>
          <w:b/>
          <w:sz w:val="28"/>
          <w:u w:val="single"/>
        </w:rPr>
      </w:pPr>
    </w:p>
    <w:p w:rsidR="00E569F1" w:rsidRPr="00D83155" w:rsidRDefault="00D83155" w:rsidP="00D83155">
      <w:pPr>
        <w:jc w:val="center"/>
        <w:rPr>
          <w:b/>
          <w:sz w:val="28"/>
          <w:u w:val="single"/>
        </w:rPr>
      </w:pPr>
      <w:r w:rsidRPr="00D83155">
        <w:rPr>
          <w:b/>
          <w:sz w:val="28"/>
          <w:u w:val="single"/>
        </w:rPr>
        <w:t>NOTICE</w:t>
      </w:r>
    </w:p>
    <w:p w:rsidR="00FF352F" w:rsidRDefault="00FF352F" w:rsidP="00E3713A">
      <w:pPr>
        <w:spacing w:line="276" w:lineRule="auto"/>
        <w:jc w:val="both"/>
        <w:rPr>
          <w:rFonts w:ascii="Book Antiqua" w:hAnsi="Book Antiqua"/>
          <w:b/>
          <w:i/>
          <w:sz w:val="22"/>
        </w:rPr>
      </w:pPr>
    </w:p>
    <w:p w:rsidR="00801FEC" w:rsidRPr="00D83155" w:rsidRDefault="00801FEC" w:rsidP="00E3713A">
      <w:pPr>
        <w:spacing w:line="276" w:lineRule="auto"/>
        <w:jc w:val="both"/>
        <w:rPr>
          <w:rFonts w:ascii="Book Antiqua" w:hAnsi="Book Antiqua"/>
          <w:b/>
          <w:i/>
          <w:sz w:val="22"/>
        </w:rPr>
      </w:pPr>
    </w:p>
    <w:p w:rsidR="00D83155" w:rsidRPr="00D83155" w:rsidRDefault="00D83155" w:rsidP="00D83155">
      <w:pPr>
        <w:spacing w:line="276" w:lineRule="auto"/>
        <w:jc w:val="both"/>
        <w:rPr>
          <w:rFonts w:ascii="Book Antiqua" w:hAnsi="Book Antiqua"/>
          <w:szCs w:val="32"/>
        </w:rPr>
      </w:pPr>
      <w:r w:rsidRPr="00D83155">
        <w:rPr>
          <w:rFonts w:ascii="Book Antiqua" w:hAnsi="Book Antiqua"/>
          <w:szCs w:val="32"/>
        </w:rPr>
        <w:t xml:space="preserve">The Ministry of Commerce, International Trade, Investment, Enterprise Development and Consumer Affairs wishes to inform </w:t>
      </w:r>
      <w:r w:rsidRPr="00D83155">
        <w:rPr>
          <w:rFonts w:ascii="Book Antiqua" w:hAnsi="Book Antiqua"/>
          <w:b/>
          <w:szCs w:val="32"/>
        </w:rPr>
        <w:t>All Importers</w:t>
      </w:r>
      <w:r w:rsidRPr="00D83155">
        <w:rPr>
          <w:rFonts w:ascii="Book Antiqua" w:hAnsi="Book Antiqua"/>
          <w:szCs w:val="32"/>
        </w:rPr>
        <w:t xml:space="preserve"> and the </w:t>
      </w:r>
      <w:r w:rsidRPr="00D83155">
        <w:rPr>
          <w:rFonts w:ascii="Book Antiqua" w:hAnsi="Book Antiqua"/>
          <w:b/>
          <w:szCs w:val="32"/>
        </w:rPr>
        <w:t>General Public</w:t>
      </w:r>
      <w:r w:rsidRPr="00D83155">
        <w:rPr>
          <w:rFonts w:ascii="Book Antiqua" w:hAnsi="Book Antiqua"/>
          <w:szCs w:val="32"/>
        </w:rPr>
        <w:t xml:space="preserve"> that </w:t>
      </w:r>
      <w:proofErr w:type="gramStart"/>
      <w:r w:rsidR="00801FEC" w:rsidRPr="00D83155">
        <w:rPr>
          <w:rFonts w:ascii="Book Antiqua" w:hAnsi="Book Antiqua"/>
          <w:szCs w:val="32"/>
        </w:rPr>
        <w:t>effective</w:t>
      </w:r>
      <w:r w:rsidR="00801FEC">
        <w:rPr>
          <w:rFonts w:ascii="Book Antiqua" w:hAnsi="Book Antiqua"/>
          <w:szCs w:val="32"/>
        </w:rPr>
        <w:t xml:space="preserve"> </w:t>
      </w:r>
      <w:r w:rsidR="00801FEC" w:rsidRPr="00D83155">
        <w:rPr>
          <w:rFonts w:ascii="Book Antiqua" w:hAnsi="Book Antiqua"/>
          <w:szCs w:val="32"/>
        </w:rPr>
        <w:t xml:space="preserve"> </w:t>
      </w:r>
      <w:r w:rsidR="00801FEC" w:rsidRPr="00801FEC">
        <w:rPr>
          <w:rFonts w:ascii="Book Antiqua" w:hAnsi="Book Antiqua"/>
          <w:b/>
          <w:szCs w:val="32"/>
        </w:rPr>
        <w:t>April</w:t>
      </w:r>
      <w:proofErr w:type="gramEnd"/>
      <w:r w:rsidRPr="00D83155">
        <w:rPr>
          <w:rFonts w:ascii="Book Antiqua" w:hAnsi="Book Antiqua"/>
          <w:b/>
          <w:szCs w:val="32"/>
        </w:rPr>
        <w:t xml:space="preserve"> 01, 2019</w:t>
      </w:r>
      <w:r w:rsidRPr="00D83155">
        <w:rPr>
          <w:rFonts w:ascii="Book Antiqua" w:hAnsi="Book Antiqua"/>
          <w:szCs w:val="32"/>
        </w:rPr>
        <w:t>, the tariff rates on items listed in Table 1 below will be adjusted upwards (depending on country of import) in accordance with a decision of the 74</w:t>
      </w:r>
      <w:r w:rsidRPr="00D83155">
        <w:rPr>
          <w:rFonts w:ascii="Book Antiqua" w:hAnsi="Book Antiqua"/>
          <w:szCs w:val="32"/>
          <w:vertAlign w:val="superscript"/>
        </w:rPr>
        <w:t>th</w:t>
      </w:r>
      <w:r w:rsidRPr="00D83155">
        <w:rPr>
          <w:rFonts w:ascii="Book Antiqua" w:hAnsi="Book Antiqua"/>
          <w:szCs w:val="32"/>
        </w:rPr>
        <w:t xml:space="preserve"> Special Meeting of the CARICOM Council for Trade and Economic Development (COTED).</w:t>
      </w:r>
    </w:p>
    <w:p w:rsidR="00D83155" w:rsidRPr="00D83155" w:rsidRDefault="00D83155" w:rsidP="00D83155">
      <w:pPr>
        <w:spacing w:line="276" w:lineRule="auto"/>
        <w:jc w:val="both"/>
        <w:rPr>
          <w:rFonts w:ascii="Book Antiqua" w:hAnsi="Book Antiqua"/>
          <w:sz w:val="20"/>
          <w:szCs w:val="32"/>
        </w:rPr>
      </w:pPr>
    </w:p>
    <w:p w:rsidR="00D83155" w:rsidRDefault="00D83155" w:rsidP="00D83155">
      <w:pPr>
        <w:spacing w:line="276" w:lineRule="auto"/>
        <w:jc w:val="both"/>
        <w:rPr>
          <w:rFonts w:ascii="Book Antiqua" w:hAnsi="Book Antiqua" w:cs="Calibri"/>
          <w:szCs w:val="32"/>
        </w:rPr>
      </w:pPr>
      <w:r w:rsidRPr="00D83155">
        <w:rPr>
          <w:rFonts w:ascii="Book Antiqua" w:hAnsi="Book Antiqua"/>
          <w:szCs w:val="32"/>
        </w:rPr>
        <w:t xml:space="preserve">This decision was made pursuant to the provisions of </w:t>
      </w:r>
      <w:r w:rsidRPr="00D83155">
        <w:rPr>
          <w:rFonts w:ascii="Book Antiqua" w:hAnsi="Book Antiqua"/>
          <w:b/>
          <w:szCs w:val="32"/>
        </w:rPr>
        <w:t xml:space="preserve">Article 164 of the Revised Treaty of </w:t>
      </w:r>
      <w:proofErr w:type="spellStart"/>
      <w:r w:rsidRPr="00D83155">
        <w:rPr>
          <w:rFonts w:ascii="Book Antiqua" w:hAnsi="Book Antiqua"/>
          <w:b/>
          <w:szCs w:val="32"/>
        </w:rPr>
        <w:t>Chaguaramas</w:t>
      </w:r>
      <w:proofErr w:type="spellEnd"/>
      <w:r w:rsidRPr="00D83155">
        <w:rPr>
          <w:rFonts w:ascii="Book Antiqua" w:hAnsi="Book Antiqua"/>
          <w:szCs w:val="32"/>
        </w:rPr>
        <w:t xml:space="preserve">, which seeks to promote industrial development in the Less Developed Countries (LDCs) of CARICOM including Saint Lucia. </w:t>
      </w:r>
      <w:r w:rsidRPr="00D83155">
        <w:rPr>
          <w:rFonts w:ascii="Book Antiqua" w:hAnsi="Book Antiqua" w:cs="Calibri"/>
          <w:szCs w:val="32"/>
        </w:rPr>
        <w:t>Article 164 provides a regime of support to eligible goods produced in LDCs on a temporary basis to help boost their competitiveness and their level of participation in intra-regional trade in the CSME.</w:t>
      </w:r>
    </w:p>
    <w:p w:rsidR="00D83155" w:rsidRPr="00D83155" w:rsidRDefault="00D83155" w:rsidP="00D83155">
      <w:pPr>
        <w:spacing w:line="276" w:lineRule="auto"/>
        <w:jc w:val="both"/>
        <w:rPr>
          <w:rFonts w:ascii="Book Antiqua" w:hAnsi="Book Antiqua" w:cs="Calibri"/>
          <w:sz w:val="20"/>
          <w:szCs w:val="32"/>
        </w:rPr>
      </w:pPr>
    </w:p>
    <w:p w:rsidR="00D83155" w:rsidRDefault="00D83155" w:rsidP="00D83155">
      <w:pPr>
        <w:spacing w:line="276" w:lineRule="auto"/>
        <w:jc w:val="both"/>
        <w:rPr>
          <w:rFonts w:ascii="Book Antiqua" w:hAnsi="Book Antiqua" w:cs="Calibri"/>
          <w:szCs w:val="32"/>
        </w:rPr>
      </w:pPr>
      <w:r w:rsidRPr="00D83155">
        <w:rPr>
          <w:rFonts w:ascii="Book Antiqua" w:hAnsi="Book Antiqua" w:cs="Calibri"/>
          <w:szCs w:val="32"/>
        </w:rPr>
        <w:t>Pursuant to Article 164, Saint Lucia in common with other beneficiary LDC CARICOM states, is required to suspend community origin treatment and apply the approved rates on similarly classified goods imported from the More Developed Countries (MDCs)</w:t>
      </w:r>
      <w:r w:rsidRPr="00D83155">
        <w:rPr>
          <w:rStyle w:val="FootnoteReference"/>
          <w:rFonts w:ascii="Book Antiqua" w:hAnsi="Book Antiqua" w:cs="Calibri"/>
          <w:szCs w:val="32"/>
        </w:rPr>
        <w:footnoteReference w:id="1"/>
      </w:r>
      <w:r w:rsidRPr="00D83155">
        <w:rPr>
          <w:rFonts w:ascii="Book Antiqua" w:hAnsi="Book Antiqua" w:cs="Calibri"/>
          <w:szCs w:val="32"/>
        </w:rPr>
        <w:t xml:space="preserve"> of CARICOM or from outside the region until December 2028</w:t>
      </w:r>
      <w:r w:rsidR="00801FEC">
        <w:rPr>
          <w:rFonts w:ascii="Book Antiqua" w:hAnsi="Book Antiqua" w:cs="Calibri"/>
          <w:szCs w:val="32"/>
        </w:rPr>
        <w:t>,</w:t>
      </w:r>
      <w:r w:rsidRPr="00D83155">
        <w:rPr>
          <w:rFonts w:ascii="Book Antiqua" w:hAnsi="Book Antiqua" w:cs="Calibri"/>
          <w:szCs w:val="32"/>
        </w:rPr>
        <w:t xml:space="preserve"> except for curry powder and pasta which expires on December 2023. The associated tariff rates will soon be published by way of Statutory Instrument (SI) in the Saint Lucia Government Gazette.</w:t>
      </w:r>
    </w:p>
    <w:p w:rsidR="00D83155" w:rsidRPr="00D83155" w:rsidRDefault="00D83155" w:rsidP="00D83155">
      <w:pPr>
        <w:spacing w:line="276" w:lineRule="auto"/>
        <w:jc w:val="both"/>
        <w:rPr>
          <w:rFonts w:ascii="Book Antiqua" w:hAnsi="Book Antiqua" w:cs="Calibri"/>
          <w:sz w:val="20"/>
          <w:szCs w:val="32"/>
        </w:rPr>
      </w:pPr>
    </w:p>
    <w:p w:rsidR="00D83155" w:rsidRDefault="00D83155" w:rsidP="00D83155">
      <w:pPr>
        <w:spacing w:line="276" w:lineRule="auto"/>
        <w:jc w:val="both"/>
        <w:rPr>
          <w:rFonts w:ascii="Book Antiqua" w:hAnsi="Book Antiqua" w:cs="Calibri"/>
          <w:szCs w:val="32"/>
        </w:rPr>
      </w:pPr>
      <w:r w:rsidRPr="00D83155">
        <w:rPr>
          <w:rFonts w:ascii="Book Antiqua" w:hAnsi="Book Antiqua" w:cs="Calibri"/>
          <w:szCs w:val="32"/>
        </w:rPr>
        <w:t>It should be noted however, that imports of the items in Table 1 from CARICOM LDCs which include countries of the OECS</w:t>
      </w:r>
      <w:r w:rsidRPr="00D83155">
        <w:rPr>
          <w:rStyle w:val="FootnoteReference"/>
          <w:rFonts w:ascii="Book Antiqua" w:hAnsi="Book Antiqua" w:cs="Calibri"/>
          <w:szCs w:val="32"/>
        </w:rPr>
        <w:footnoteReference w:id="2"/>
      </w:r>
      <w:r w:rsidRPr="00D83155">
        <w:rPr>
          <w:rFonts w:ascii="Book Antiqua" w:hAnsi="Book Antiqua" w:cs="Calibri"/>
          <w:szCs w:val="32"/>
        </w:rPr>
        <w:t>, Haiti and Belize, benefit from community origin treatment and would attract a tariff rate of zero percent.</w:t>
      </w:r>
      <w:bookmarkStart w:id="0" w:name="_GoBack"/>
      <w:bookmarkEnd w:id="0"/>
    </w:p>
    <w:p w:rsidR="00D83155" w:rsidRPr="00D83155" w:rsidRDefault="00D83155" w:rsidP="00D83155">
      <w:pPr>
        <w:spacing w:line="276" w:lineRule="auto"/>
        <w:jc w:val="both"/>
        <w:rPr>
          <w:rFonts w:ascii="Book Antiqua" w:hAnsi="Book Antiqua" w:cs="Calibri"/>
          <w:sz w:val="20"/>
          <w:szCs w:val="32"/>
        </w:rPr>
      </w:pPr>
    </w:p>
    <w:p w:rsidR="00D83155" w:rsidRPr="00D83155" w:rsidRDefault="00D83155" w:rsidP="00D83155">
      <w:pPr>
        <w:spacing w:line="276" w:lineRule="auto"/>
        <w:jc w:val="both"/>
        <w:rPr>
          <w:rFonts w:ascii="Book Antiqua" w:hAnsi="Book Antiqua" w:cs="Calibri"/>
          <w:szCs w:val="32"/>
        </w:rPr>
      </w:pPr>
      <w:r w:rsidRPr="00D83155">
        <w:rPr>
          <w:rFonts w:ascii="Book Antiqua" w:hAnsi="Book Antiqua" w:cs="Calibri"/>
          <w:szCs w:val="32"/>
        </w:rPr>
        <w:t xml:space="preserve">The Public is hereby invited to take note of the foregoing and </w:t>
      </w:r>
      <w:r w:rsidR="00801FEC">
        <w:rPr>
          <w:rFonts w:ascii="Book Antiqua" w:hAnsi="Book Antiqua" w:cs="Calibri"/>
          <w:szCs w:val="32"/>
        </w:rPr>
        <w:t xml:space="preserve">to </w:t>
      </w:r>
      <w:r w:rsidRPr="00D83155">
        <w:rPr>
          <w:rFonts w:ascii="Book Antiqua" w:hAnsi="Book Antiqua" w:cs="Calibri"/>
          <w:szCs w:val="32"/>
        </w:rPr>
        <w:t xml:space="preserve">be guided accordingly. </w:t>
      </w:r>
    </w:p>
    <w:p w:rsidR="004D31E0" w:rsidRDefault="004D31E0" w:rsidP="004D31E0">
      <w:pPr>
        <w:jc w:val="center"/>
        <w:rPr>
          <w:b/>
        </w:rPr>
      </w:pPr>
    </w:p>
    <w:p w:rsidR="004D31E0" w:rsidRDefault="004D31E0" w:rsidP="004D31E0">
      <w:pPr>
        <w:jc w:val="center"/>
        <w:rPr>
          <w:b/>
        </w:rPr>
      </w:pPr>
    </w:p>
    <w:p w:rsidR="004D31E0" w:rsidRPr="00E705DF" w:rsidRDefault="004D31E0" w:rsidP="004D31E0">
      <w:pPr>
        <w:jc w:val="center"/>
        <w:rPr>
          <w:b/>
        </w:rPr>
      </w:pPr>
      <w:r w:rsidRPr="00E705DF">
        <w:rPr>
          <w:b/>
        </w:rPr>
        <w:t>Table 1</w:t>
      </w:r>
    </w:p>
    <w:tbl>
      <w:tblPr>
        <w:tblStyle w:val="TableGrid"/>
        <w:tblpPr w:leftFromText="180" w:rightFromText="180" w:vertAnchor="text" w:horzAnchor="margin" w:tblpXSpec="center" w:tblpY="179"/>
        <w:tblW w:w="0" w:type="auto"/>
        <w:tblLook w:val="04A0" w:firstRow="1" w:lastRow="0" w:firstColumn="1" w:lastColumn="0" w:noHBand="0" w:noVBand="1"/>
      </w:tblPr>
      <w:tblGrid>
        <w:gridCol w:w="3452"/>
        <w:gridCol w:w="2123"/>
      </w:tblGrid>
      <w:tr w:rsidR="004D31E0" w:rsidTr="00A921E2">
        <w:tc>
          <w:tcPr>
            <w:tcW w:w="3452" w:type="dxa"/>
          </w:tcPr>
          <w:p w:rsidR="004D31E0" w:rsidRPr="00FF14BB" w:rsidRDefault="004D31E0" w:rsidP="00A921E2">
            <w:pPr>
              <w:jc w:val="center"/>
              <w:rPr>
                <w:b/>
              </w:rPr>
            </w:pPr>
            <w:r w:rsidRPr="00FF14BB">
              <w:rPr>
                <w:b/>
              </w:rPr>
              <w:t>Description of Items</w:t>
            </w:r>
          </w:p>
        </w:tc>
        <w:tc>
          <w:tcPr>
            <w:tcW w:w="2123" w:type="dxa"/>
          </w:tcPr>
          <w:p w:rsidR="004D31E0" w:rsidRPr="00FF14BB" w:rsidRDefault="004D31E0" w:rsidP="00A921E2">
            <w:pPr>
              <w:jc w:val="center"/>
              <w:rPr>
                <w:b/>
              </w:rPr>
            </w:pPr>
            <w:r w:rsidRPr="00FF14BB">
              <w:rPr>
                <w:b/>
              </w:rPr>
              <w:t>Tariff Classification</w:t>
            </w:r>
          </w:p>
        </w:tc>
      </w:tr>
      <w:tr w:rsidR="004D31E0" w:rsidTr="00A921E2">
        <w:tc>
          <w:tcPr>
            <w:tcW w:w="3452" w:type="dxa"/>
          </w:tcPr>
          <w:p w:rsidR="004D31E0" w:rsidRDefault="004D31E0" w:rsidP="00A921E2">
            <w:r>
              <w:t>Curry Powder</w:t>
            </w:r>
          </w:p>
        </w:tc>
        <w:tc>
          <w:tcPr>
            <w:tcW w:w="2123" w:type="dxa"/>
          </w:tcPr>
          <w:p w:rsidR="004D31E0" w:rsidRDefault="004D31E0" w:rsidP="00A921E2">
            <w:r>
              <w:t>0910.99.30</w:t>
            </w:r>
          </w:p>
        </w:tc>
      </w:tr>
      <w:tr w:rsidR="004D31E0" w:rsidTr="00A921E2">
        <w:tc>
          <w:tcPr>
            <w:tcW w:w="3452" w:type="dxa"/>
          </w:tcPr>
          <w:p w:rsidR="004D31E0" w:rsidRDefault="004D31E0" w:rsidP="00A921E2">
            <w:r>
              <w:t xml:space="preserve">Wheat or </w:t>
            </w:r>
            <w:proofErr w:type="spellStart"/>
            <w:r>
              <w:t>Meslin</w:t>
            </w:r>
            <w:proofErr w:type="spellEnd"/>
            <w:r>
              <w:t xml:space="preserve"> flour</w:t>
            </w:r>
          </w:p>
        </w:tc>
        <w:tc>
          <w:tcPr>
            <w:tcW w:w="2123" w:type="dxa"/>
          </w:tcPr>
          <w:p w:rsidR="004D31E0" w:rsidRDefault="004D31E0" w:rsidP="00A921E2">
            <w:r>
              <w:t>1101.00.90</w:t>
            </w:r>
          </w:p>
        </w:tc>
      </w:tr>
      <w:tr w:rsidR="004D31E0" w:rsidTr="00A921E2">
        <w:tc>
          <w:tcPr>
            <w:tcW w:w="3452" w:type="dxa"/>
          </w:tcPr>
          <w:p w:rsidR="004D31E0" w:rsidRDefault="004D31E0" w:rsidP="00A921E2">
            <w:r>
              <w:t>Pasta (not including 1902.40 Couscous and 1902.11 pasta cooked with eggs)</w:t>
            </w:r>
          </w:p>
        </w:tc>
        <w:tc>
          <w:tcPr>
            <w:tcW w:w="2123" w:type="dxa"/>
          </w:tcPr>
          <w:p w:rsidR="004D31E0" w:rsidRDefault="004D31E0" w:rsidP="00A921E2">
            <w:r>
              <w:t>Ex. 1902</w:t>
            </w:r>
          </w:p>
        </w:tc>
      </w:tr>
      <w:tr w:rsidR="004D31E0" w:rsidTr="00A921E2">
        <w:tc>
          <w:tcPr>
            <w:tcW w:w="3452" w:type="dxa"/>
          </w:tcPr>
          <w:p w:rsidR="004D31E0" w:rsidRDefault="004D31E0" w:rsidP="00A921E2">
            <w:r>
              <w:t>Aerated Waters</w:t>
            </w:r>
          </w:p>
        </w:tc>
        <w:tc>
          <w:tcPr>
            <w:tcW w:w="2123" w:type="dxa"/>
          </w:tcPr>
          <w:p w:rsidR="004D31E0" w:rsidRDefault="004D31E0" w:rsidP="00A921E2">
            <w:r>
              <w:t>2201.10.20</w:t>
            </w:r>
          </w:p>
        </w:tc>
      </w:tr>
      <w:tr w:rsidR="004D31E0" w:rsidTr="00A921E2">
        <w:tc>
          <w:tcPr>
            <w:tcW w:w="3452" w:type="dxa"/>
          </w:tcPr>
          <w:p w:rsidR="004D31E0" w:rsidRDefault="004D31E0" w:rsidP="00A921E2">
            <w:r>
              <w:t>Ordinary Natural Waters</w:t>
            </w:r>
          </w:p>
        </w:tc>
        <w:tc>
          <w:tcPr>
            <w:tcW w:w="2123" w:type="dxa"/>
          </w:tcPr>
          <w:p w:rsidR="004D31E0" w:rsidRDefault="004D31E0" w:rsidP="00A921E2">
            <w:r>
              <w:t>2201.90</w:t>
            </w:r>
          </w:p>
        </w:tc>
      </w:tr>
      <w:tr w:rsidR="004D31E0" w:rsidTr="00A921E2">
        <w:tc>
          <w:tcPr>
            <w:tcW w:w="3452" w:type="dxa"/>
          </w:tcPr>
          <w:p w:rsidR="004D31E0" w:rsidRDefault="004D31E0" w:rsidP="00A921E2">
            <w:r>
              <w:t>Aerated Beverages</w:t>
            </w:r>
          </w:p>
        </w:tc>
        <w:tc>
          <w:tcPr>
            <w:tcW w:w="2123" w:type="dxa"/>
          </w:tcPr>
          <w:p w:rsidR="004D31E0" w:rsidRDefault="004D31E0" w:rsidP="00A921E2">
            <w:r>
              <w:t>2202.10.10</w:t>
            </w:r>
          </w:p>
        </w:tc>
      </w:tr>
      <w:tr w:rsidR="004D31E0" w:rsidTr="00A921E2">
        <w:tc>
          <w:tcPr>
            <w:tcW w:w="3452" w:type="dxa"/>
          </w:tcPr>
          <w:p w:rsidR="004D31E0" w:rsidRDefault="004D31E0" w:rsidP="00A921E2">
            <w:r>
              <w:t>Other Waters</w:t>
            </w:r>
          </w:p>
        </w:tc>
        <w:tc>
          <w:tcPr>
            <w:tcW w:w="2123" w:type="dxa"/>
          </w:tcPr>
          <w:p w:rsidR="004D31E0" w:rsidRDefault="004D31E0" w:rsidP="00A921E2">
            <w:r>
              <w:t>2202.10.90</w:t>
            </w:r>
          </w:p>
        </w:tc>
      </w:tr>
      <w:tr w:rsidR="004D31E0" w:rsidTr="00A921E2">
        <w:tc>
          <w:tcPr>
            <w:tcW w:w="3452" w:type="dxa"/>
          </w:tcPr>
          <w:p w:rsidR="004D31E0" w:rsidRDefault="004D31E0" w:rsidP="00A921E2">
            <w:r>
              <w:t>Malt</w:t>
            </w:r>
          </w:p>
        </w:tc>
        <w:tc>
          <w:tcPr>
            <w:tcW w:w="2123" w:type="dxa"/>
          </w:tcPr>
          <w:p w:rsidR="004D31E0" w:rsidRDefault="004D31E0" w:rsidP="00A921E2">
            <w:r>
              <w:t>2202.91.40</w:t>
            </w:r>
          </w:p>
        </w:tc>
      </w:tr>
      <w:tr w:rsidR="004D31E0" w:rsidTr="00A921E2">
        <w:tc>
          <w:tcPr>
            <w:tcW w:w="3452" w:type="dxa"/>
          </w:tcPr>
          <w:p w:rsidR="004D31E0" w:rsidRDefault="004D31E0" w:rsidP="00A921E2">
            <w:r>
              <w:t>Beer</w:t>
            </w:r>
          </w:p>
        </w:tc>
        <w:tc>
          <w:tcPr>
            <w:tcW w:w="2123" w:type="dxa"/>
          </w:tcPr>
          <w:p w:rsidR="004D31E0" w:rsidRDefault="004D31E0" w:rsidP="00A921E2">
            <w:r>
              <w:t>2203.00.</w:t>
            </w:r>
            <w:r w:rsidR="00B6470C">
              <w:t>10</w:t>
            </w:r>
            <w:r w:rsidR="000E7020">
              <w:t xml:space="preserve"> </w:t>
            </w:r>
          </w:p>
        </w:tc>
      </w:tr>
      <w:tr w:rsidR="004D31E0" w:rsidTr="00A921E2">
        <w:tc>
          <w:tcPr>
            <w:tcW w:w="3452" w:type="dxa"/>
          </w:tcPr>
          <w:p w:rsidR="004D31E0" w:rsidRDefault="004D31E0" w:rsidP="00A921E2">
            <w:r>
              <w:t>Stout</w:t>
            </w:r>
          </w:p>
        </w:tc>
        <w:tc>
          <w:tcPr>
            <w:tcW w:w="2123" w:type="dxa"/>
          </w:tcPr>
          <w:p w:rsidR="004D31E0" w:rsidRDefault="004D31E0" w:rsidP="00A921E2">
            <w:r>
              <w:t>2203.00.20</w:t>
            </w:r>
          </w:p>
        </w:tc>
      </w:tr>
      <w:tr w:rsidR="004D31E0" w:rsidTr="00A921E2">
        <w:tc>
          <w:tcPr>
            <w:tcW w:w="3452" w:type="dxa"/>
          </w:tcPr>
          <w:p w:rsidR="004D31E0" w:rsidRDefault="004D31E0" w:rsidP="00A921E2">
            <w:r>
              <w:t>Prepared Poultry feed</w:t>
            </w:r>
          </w:p>
        </w:tc>
        <w:tc>
          <w:tcPr>
            <w:tcW w:w="2123" w:type="dxa"/>
          </w:tcPr>
          <w:p w:rsidR="004D31E0" w:rsidRDefault="004D31E0" w:rsidP="00A921E2">
            <w:r>
              <w:t>2309.90.30</w:t>
            </w:r>
          </w:p>
        </w:tc>
      </w:tr>
      <w:tr w:rsidR="004D31E0" w:rsidTr="00A921E2">
        <w:tc>
          <w:tcPr>
            <w:tcW w:w="3452" w:type="dxa"/>
          </w:tcPr>
          <w:p w:rsidR="004D31E0" w:rsidRDefault="004D31E0" w:rsidP="00A921E2">
            <w:r>
              <w:t>Prepared complete cattle feed</w:t>
            </w:r>
          </w:p>
        </w:tc>
        <w:tc>
          <w:tcPr>
            <w:tcW w:w="2123" w:type="dxa"/>
          </w:tcPr>
          <w:p w:rsidR="004D31E0" w:rsidRDefault="004D31E0" w:rsidP="00A921E2">
            <w:r>
              <w:t>2309.90.40</w:t>
            </w:r>
          </w:p>
        </w:tc>
      </w:tr>
      <w:tr w:rsidR="004D31E0" w:rsidTr="00A921E2">
        <w:tc>
          <w:tcPr>
            <w:tcW w:w="3452" w:type="dxa"/>
          </w:tcPr>
          <w:p w:rsidR="004D31E0" w:rsidRDefault="004D31E0" w:rsidP="00A921E2">
            <w:r>
              <w:t>Prepared complete pig feed</w:t>
            </w:r>
          </w:p>
        </w:tc>
        <w:tc>
          <w:tcPr>
            <w:tcW w:w="2123" w:type="dxa"/>
          </w:tcPr>
          <w:p w:rsidR="004D31E0" w:rsidRDefault="004D31E0" w:rsidP="00A921E2">
            <w:r>
              <w:t>2309.90.50</w:t>
            </w:r>
          </w:p>
        </w:tc>
      </w:tr>
      <w:tr w:rsidR="004D31E0" w:rsidTr="00A921E2">
        <w:tc>
          <w:tcPr>
            <w:tcW w:w="3452" w:type="dxa"/>
          </w:tcPr>
          <w:p w:rsidR="004D31E0" w:rsidRDefault="004D31E0" w:rsidP="00A921E2">
            <w:r>
              <w:t>Other prepared complete animal feed</w:t>
            </w:r>
          </w:p>
        </w:tc>
        <w:tc>
          <w:tcPr>
            <w:tcW w:w="2123" w:type="dxa"/>
          </w:tcPr>
          <w:p w:rsidR="004D31E0" w:rsidRDefault="004D31E0" w:rsidP="00A921E2">
            <w:r>
              <w:t>2309.90.60</w:t>
            </w:r>
          </w:p>
        </w:tc>
      </w:tr>
      <w:tr w:rsidR="004D31E0" w:rsidTr="00A921E2">
        <w:tc>
          <w:tcPr>
            <w:tcW w:w="3452" w:type="dxa"/>
          </w:tcPr>
          <w:p w:rsidR="004D31E0" w:rsidRDefault="004D31E0" w:rsidP="00A921E2">
            <w:r>
              <w:t>Other</w:t>
            </w:r>
          </w:p>
        </w:tc>
        <w:tc>
          <w:tcPr>
            <w:tcW w:w="2123" w:type="dxa"/>
          </w:tcPr>
          <w:p w:rsidR="004D31E0" w:rsidRDefault="004D31E0" w:rsidP="00A921E2">
            <w:r>
              <w:t>2309.90.90</w:t>
            </w:r>
          </w:p>
        </w:tc>
      </w:tr>
      <w:tr w:rsidR="004D31E0" w:rsidTr="00A921E2">
        <w:tc>
          <w:tcPr>
            <w:tcW w:w="3452" w:type="dxa"/>
          </w:tcPr>
          <w:p w:rsidR="004D31E0" w:rsidRDefault="004D31E0" w:rsidP="00A921E2">
            <w:r>
              <w:t>Oxygen</w:t>
            </w:r>
          </w:p>
        </w:tc>
        <w:tc>
          <w:tcPr>
            <w:tcW w:w="2123" w:type="dxa"/>
          </w:tcPr>
          <w:p w:rsidR="004D31E0" w:rsidRDefault="004D31E0" w:rsidP="00A921E2">
            <w:r>
              <w:t>2804.40.00</w:t>
            </w:r>
          </w:p>
        </w:tc>
      </w:tr>
      <w:tr w:rsidR="004D31E0" w:rsidTr="00A921E2">
        <w:tc>
          <w:tcPr>
            <w:tcW w:w="3452" w:type="dxa"/>
          </w:tcPr>
          <w:p w:rsidR="004D31E0" w:rsidRDefault="004D31E0" w:rsidP="00A921E2">
            <w:r>
              <w:t>Carbon Dioxide</w:t>
            </w:r>
          </w:p>
        </w:tc>
        <w:tc>
          <w:tcPr>
            <w:tcW w:w="2123" w:type="dxa"/>
          </w:tcPr>
          <w:p w:rsidR="004D31E0" w:rsidRDefault="004D31E0" w:rsidP="00A921E2">
            <w:r>
              <w:t>2811.21.00</w:t>
            </w:r>
          </w:p>
        </w:tc>
      </w:tr>
      <w:tr w:rsidR="004D31E0" w:rsidTr="00A921E2">
        <w:tc>
          <w:tcPr>
            <w:tcW w:w="3452" w:type="dxa"/>
          </w:tcPr>
          <w:p w:rsidR="004D31E0" w:rsidRDefault="004D31E0" w:rsidP="00A921E2">
            <w:r>
              <w:t>Acetylene</w:t>
            </w:r>
          </w:p>
        </w:tc>
        <w:tc>
          <w:tcPr>
            <w:tcW w:w="2123" w:type="dxa"/>
          </w:tcPr>
          <w:p w:rsidR="004D31E0" w:rsidRDefault="004D31E0" w:rsidP="00A921E2">
            <w:r>
              <w:t>2901.29.20</w:t>
            </w:r>
          </w:p>
        </w:tc>
      </w:tr>
      <w:tr w:rsidR="004D31E0" w:rsidTr="00A921E2">
        <w:tc>
          <w:tcPr>
            <w:tcW w:w="3452" w:type="dxa"/>
          </w:tcPr>
          <w:p w:rsidR="004D31E0" w:rsidRDefault="004D31E0" w:rsidP="00A921E2">
            <w:r>
              <w:t>Paint and varnishes (including enamels and lacquers)</w:t>
            </w:r>
          </w:p>
        </w:tc>
        <w:tc>
          <w:tcPr>
            <w:tcW w:w="2123" w:type="dxa"/>
          </w:tcPr>
          <w:p w:rsidR="004D31E0" w:rsidRDefault="004D31E0" w:rsidP="00A921E2">
            <w:r>
              <w:t>Ex. 3209</w:t>
            </w:r>
          </w:p>
        </w:tc>
      </w:tr>
      <w:tr w:rsidR="004D31E0" w:rsidTr="00A921E2">
        <w:tc>
          <w:tcPr>
            <w:tcW w:w="3452" w:type="dxa"/>
          </w:tcPr>
          <w:p w:rsidR="004D31E0" w:rsidRDefault="004D31E0" w:rsidP="00A921E2">
            <w:r>
              <w:t>Candles of paraffin wax</w:t>
            </w:r>
          </w:p>
        </w:tc>
        <w:tc>
          <w:tcPr>
            <w:tcW w:w="2123" w:type="dxa"/>
          </w:tcPr>
          <w:p w:rsidR="004D31E0" w:rsidRDefault="004D31E0" w:rsidP="00A921E2">
            <w:r>
              <w:t>3406.00</w:t>
            </w:r>
          </w:p>
        </w:tc>
      </w:tr>
      <w:tr w:rsidR="004D31E0" w:rsidTr="00A921E2">
        <w:tc>
          <w:tcPr>
            <w:tcW w:w="3452" w:type="dxa"/>
          </w:tcPr>
          <w:p w:rsidR="004D31E0" w:rsidRDefault="004D31E0" w:rsidP="00A921E2">
            <w:r>
              <w:t>Solar water heaters</w:t>
            </w:r>
          </w:p>
        </w:tc>
        <w:tc>
          <w:tcPr>
            <w:tcW w:w="2123" w:type="dxa"/>
          </w:tcPr>
          <w:p w:rsidR="004D31E0" w:rsidRDefault="004D31E0" w:rsidP="00A921E2">
            <w:r>
              <w:t>8419.19</w:t>
            </w:r>
          </w:p>
        </w:tc>
      </w:tr>
      <w:tr w:rsidR="004D31E0" w:rsidTr="00A921E2">
        <w:tc>
          <w:tcPr>
            <w:tcW w:w="3452" w:type="dxa"/>
          </w:tcPr>
          <w:p w:rsidR="004D31E0" w:rsidRDefault="004D31E0" w:rsidP="00A921E2">
            <w:r>
              <w:t>Chairs and other seats, with wooden frames</w:t>
            </w:r>
          </w:p>
        </w:tc>
        <w:tc>
          <w:tcPr>
            <w:tcW w:w="2123" w:type="dxa"/>
          </w:tcPr>
          <w:p w:rsidR="004D31E0" w:rsidRDefault="004D31E0" w:rsidP="00A921E2">
            <w:r>
              <w:t>9401.60.00</w:t>
            </w:r>
          </w:p>
        </w:tc>
      </w:tr>
      <w:tr w:rsidR="004D31E0" w:rsidTr="00A921E2">
        <w:tc>
          <w:tcPr>
            <w:tcW w:w="3452" w:type="dxa"/>
          </w:tcPr>
          <w:p w:rsidR="004D31E0" w:rsidRDefault="004D31E0" w:rsidP="00A921E2">
            <w:r>
              <w:t>Upholstered</w:t>
            </w:r>
          </w:p>
        </w:tc>
        <w:tc>
          <w:tcPr>
            <w:tcW w:w="2123" w:type="dxa"/>
          </w:tcPr>
          <w:p w:rsidR="004D31E0" w:rsidRDefault="004D31E0" w:rsidP="00A921E2">
            <w:r>
              <w:t>9401.61.00</w:t>
            </w:r>
          </w:p>
        </w:tc>
      </w:tr>
      <w:tr w:rsidR="004D31E0" w:rsidTr="00A921E2">
        <w:tc>
          <w:tcPr>
            <w:tcW w:w="3452" w:type="dxa"/>
          </w:tcPr>
          <w:p w:rsidR="004D31E0" w:rsidRDefault="004D31E0" w:rsidP="00A921E2">
            <w:r>
              <w:t>Other</w:t>
            </w:r>
          </w:p>
        </w:tc>
        <w:tc>
          <w:tcPr>
            <w:tcW w:w="2123" w:type="dxa"/>
          </w:tcPr>
          <w:p w:rsidR="004D31E0" w:rsidRDefault="004D31E0" w:rsidP="00A921E2">
            <w:r>
              <w:t>9401.69.00</w:t>
            </w:r>
          </w:p>
        </w:tc>
      </w:tr>
      <w:tr w:rsidR="004D31E0" w:rsidTr="00A921E2">
        <w:tc>
          <w:tcPr>
            <w:tcW w:w="3452" w:type="dxa"/>
          </w:tcPr>
          <w:p w:rsidR="004D31E0" w:rsidRDefault="004D31E0" w:rsidP="00A921E2">
            <w:r>
              <w:t>Wooden furniture of a kind used in offices</w:t>
            </w:r>
          </w:p>
        </w:tc>
        <w:tc>
          <w:tcPr>
            <w:tcW w:w="2123" w:type="dxa"/>
          </w:tcPr>
          <w:p w:rsidR="004D31E0" w:rsidRDefault="004D31E0" w:rsidP="00A921E2">
            <w:r>
              <w:t>9403.30.00</w:t>
            </w:r>
          </w:p>
        </w:tc>
      </w:tr>
      <w:tr w:rsidR="004D31E0" w:rsidTr="00A921E2">
        <w:tc>
          <w:tcPr>
            <w:tcW w:w="3452" w:type="dxa"/>
          </w:tcPr>
          <w:p w:rsidR="004D31E0" w:rsidRDefault="004D31E0" w:rsidP="00A921E2">
            <w:r>
              <w:t>Wooden furniture of a kind used in the kitchen</w:t>
            </w:r>
          </w:p>
        </w:tc>
        <w:tc>
          <w:tcPr>
            <w:tcW w:w="2123" w:type="dxa"/>
          </w:tcPr>
          <w:p w:rsidR="004D31E0" w:rsidRDefault="004D31E0" w:rsidP="00A921E2">
            <w:r>
              <w:t>9403.40.00</w:t>
            </w:r>
          </w:p>
        </w:tc>
      </w:tr>
      <w:tr w:rsidR="004D31E0" w:rsidTr="00A921E2">
        <w:tc>
          <w:tcPr>
            <w:tcW w:w="3452" w:type="dxa"/>
          </w:tcPr>
          <w:p w:rsidR="004D31E0" w:rsidRDefault="004D31E0" w:rsidP="00A921E2">
            <w:r>
              <w:t>Wooden furniture of a kind used in the bedroom</w:t>
            </w:r>
          </w:p>
        </w:tc>
        <w:tc>
          <w:tcPr>
            <w:tcW w:w="2123" w:type="dxa"/>
          </w:tcPr>
          <w:p w:rsidR="004D31E0" w:rsidRDefault="004D31E0" w:rsidP="00A921E2">
            <w:r>
              <w:t>9403.50.00</w:t>
            </w:r>
          </w:p>
        </w:tc>
      </w:tr>
      <w:tr w:rsidR="004D31E0" w:rsidTr="00A921E2">
        <w:tc>
          <w:tcPr>
            <w:tcW w:w="3452" w:type="dxa"/>
          </w:tcPr>
          <w:p w:rsidR="004D31E0" w:rsidRDefault="004D31E0" w:rsidP="00A921E2">
            <w:r>
              <w:t>Other furniture of wood and upholstered fabric</w:t>
            </w:r>
          </w:p>
        </w:tc>
        <w:tc>
          <w:tcPr>
            <w:tcW w:w="2123" w:type="dxa"/>
          </w:tcPr>
          <w:p w:rsidR="004D31E0" w:rsidRDefault="004D31E0" w:rsidP="00A921E2">
            <w:r>
              <w:t>9403.60.00</w:t>
            </w:r>
          </w:p>
        </w:tc>
      </w:tr>
    </w:tbl>
    <w:p w:rsidR="004D31E0" w:rsidRDefault="004D31E0" w:rsidP="004D31E0"/>
    <w:p w:rsidR="004D31E0" w:rsidRPr="0025015D" w:rsidRDefault="004D31E0" w:rsidP="004D31E0">
      <w:pPr>
        <w:rPr>
          <w:b/>
        </w:rPr>
      </w:pPr>
    </w:p>
    <w:p w:rsidR="004D31E0" w:rsidRDefault="004D31E0" w:rsidP="004D31E0"/>
    <w:p w:rsidR="00D83155" w:rsidRPr="00D83155" w:rsidRDefault="00D83155" w:rsidP="00D83155">
      <w:pPr>
        <w:rPr>
          <w:rFonts w:ascii="Book Antiqua" w:hAnsi="Book Antiqua"/>
        </w:rPr>
      </w:pPr>
    </w:p>
    <w:p w:rsidR="00D83155" w:rsidRDefault="00D83155" w:rsidP="00D83155">
      <w:pPr>
        <w:rPr>
          <w:rFonts w:ascii="Book Antiqua" w:hAnsi="Book Antiqua"/>
        </w:rPr>
      </w:pPr>
    </w:p>
    <w:p w:rsidR="00D83155" w:rsidRDefault="00D83155" w:rsidP="00D83155"/>
    <w:p w:rsidR="005B0FB8" w:rsidRDefault="005B0FB8" w:rsidP="00D83155">
      <w:pPr>
        <w:rPr>
          <w:rFonts w:ascii="Arial" w:hAnsi="Arial" w:cs="Arial"/>
          <w:b/>
        </w:rPr>
      </w:pPr>
    </w:p>
    <w:p w:rsidR="00801FEC" w:rsidRDefault="00801FEC"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4D31E0" w:rsidRDefault="004D31E0" w:rsidP="00D83155">
      <w:pPr>
        <w:rPr>
          <w:rFonts w:ascii="Arial" w:hAnsi="Arial" w:cs="Arial"/>
          <w:b/>
        </w:rPr>
      </w:pPr>
    </w:p>
    <w:p w:rsidR="0023684A" w:rsidRDefault="00D83155" w:rsidP="00D83155">
      <w:pPr>
        <w:rPr>
          <w:rFonts w:ascii="Arial" w:hAnsi="Arial" w:cs="Arial"/>
          <w:b/>
        </w:rPr>
      </w:pPr>
      <w:r w:rsidRPr="00D91B16">
        <w:rPr>
          <w:rFonts w:ascii="Arial" w:hAnsi="Arial" w:cs="Arial"/>
          <w:b/>
        </w:rPr>
        <w:t>Minister of Commerce, International Trade,</w:t>
      </w:r>
      <w:r>
        <w:rPr>
          <w:rFonts w:ascii="Arial" w:hAnsi="Arial" w:cs="Arial"/>
          <w:b/>
        </w:rPr>
        <w:t xml:space="preserve"> Investment, Enterprise Development</w:t>
      </w:r>
      <w:r w:rsidRPr="00D91B16">
        <w:rPr>
          <w:rFonts w:ascii="Arial" w:hAnsi="Arial" w:cs="Arial"/>
          <w:b/>
        </w:rPr>
        <w:t xml:space="preserve"> and Consumer Affairs</w:t>
      </w:r>
    </w:p>
    <w:p w:rsidR="004D31E0" w:rsidRDefault="004D31E0" w:rsidP="00D83155">
      <w:pPr>
        <w:rPr>
          <w:rFonts w:ascii="Arial" w:hAnsi="Arial" w:cs="Arial"/>
          <w:b/>
        </w:rPr>
      </w:pPr>
    </w:p>
    <w:p w:rsidR="004D31E0" w:rsidRPr="00D83155" w:rsidRDefault="004D31E0" w:rsidP="004D31E0">
      <w:pPr>
        <w:jc w:val="center"/>
        <w:rPr>
          <w:rFonts w:ascii="Arial" w:hAnsi="Arial" w:cs="Arial"/>
          <w:b/>
        </w:rPr>
      </w:pPr>
      <w:r>
        <w:rPr>
          <w:rFonts w:ascii="Arial" w:hAnsi="Arial" w:cs="Arial"/>
          <w:b/>
        </w:rPr>
        <w:t>-END-</w:t>
      </w:r>
    </w:p>
    <w:sectPr w:rsidR="004D31E0" w:rsidRPr="00D83155" w:rsidSect="004D31E0">
      <w:headerReference w:type="default" r:id="rId9"/>
      <w:footerReference w:type="default" r:id="rId10"/>
      <w:pgSz w:w="12240" w:h="15840" w:code="1"/>
      <w:pgMar w:top="245" w:right="1152" w:bottom="720"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EA" w:rsidRDefault="001D11EA">
      <w:r>
        <w:separator/>
      </w:r>
    </w:p>
  </w:endnote>
  <w:endnote w:type="continuationSeparator" w:id="0">
    <w:p w:rsidR="001D11EA" w:rsidRDefault="001D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5A" w:rsidRDefault="00E7745A">
    <w:pPr>
      <w:pStyle w:val="Footer"/>
    </w:pPr>
    <w:r>
      <w:t>__________________________________________________________________________________</w:t>
    </w:r>
  </w:p>
  <w:p w:rsidR="00F0353E" w:rsidRDefault="00E7745A" w:rsidP="00F0353E">
    <w:pPr>
      <w:pStyle w:val="Footer"/>
      <w:jc w:val="center"/>
      <w:rPr>
        <w:rFonts w:ascii="Rockwell" w:hAnsi="Rockwell"/>
        <w:b/>
        <w:sz w:val="18"/>
        <w:szCs w:val="18"/>
      </w:rPr>
    </w:pPr>
    <w:r w:rsidRPr="00F0353E">
      <w:rPr>
        <w:rFonts w:ascii="Rockwell" w:hAnsi="Rockwell"/>
        <w:b/>
        <w:sz w:val="18"/>
        <w:szCs w:val="18"/>
      </w:rPr>
      <w:t>Commerce</w:t>
    </w:r>
    <w:r>
      <w:rPr>
        <w:rFonts w:ascii="Rockwell" w:hAnsi="Rockwell"/>
        <w:sz w:val="18"/>
        <w:szCs w:val="18"/>
      </w:rPr>
      <w:t>: (758) 453-2383</w:t>
    </w:r>
    <w:r w:rsidRPr="00F0353E">
      <w:rPr>
        <w:rFonts w:ascii="Rockwell" w:hAnsi="Rockwell"/>
        <w:b/>
        <w:sz w:val="18"/>
        <w:szCs w:val="18"/>
      </w:rPr>
      <w:t xml:space="preserve"> *</w:t>
    </w:r>
    <w:r w:rsidR="00F0353E">
      <w:rPr>
        <w:rFonts w:ascii="Rockwell" w:hAnsi="Rockwell"/>
        <w:b/>
        <w:sz w:val="18"/>
        <w:szCs w:val="18"/>
      </w:rPr>
      <w:t>*</w:t>
    </w:r>
    <w:r w:rsidRPr="00F0353E">
      <w:rPr>
        <w:rFonts w:ascii="Rockwell" w:hAnsi="Rockwell"/>
        <w:b/>
        <w:sz w:val="18"/>
        <w:szCs w:val="18"/>
      </w:rPr>
      <w:t xml:space="preserve"> Investment</w:t>
    </w:r>
    <w:r w:rsidR="00F0353E">
      <w:rPr>
        <w:rFonts w:ascii="Rockwell" w:hAnsi="Rockwell"/>
        <w:b/>
        <w:sz w:val="18"/>
        <w:szCs w:val="18"/>
      </w:rPr>
      <w:t>:</w:t>
    </w:r>
    <w:r>
      <w:rPr>
        <w:rFonts w:ascii="Rockwell" w:hAnsi="Rockwell"/>
        <w:sz w:val="18"/>
        <w:szCs w:val="18"/>
      </w:rPr>
      <w:t xml:space="preserve"> </w:t>
    </w:r>
    <w:r w:rsidR="00F0353E">
      <w:rPr>
        <w:rFonts w:ascii="Rockwell" w:hAnsi="Rockwell"/>
        <w:sz w:val="18"/>
        <w:szCs w:val="18"/>
      </w:rPr>
      <w:t xml:space="preserve">(758) 453-2957 ** </w:t>
    </w:r>
    <w:r w:rsidRPr="00F0353E">
      <w:rPr>
        <w:rFonts w:ascii="Rockwell" w:hAnsi="Rockwell"/>
        <w:b/>
        <w:sz w:val="18"/>
        <w:szCs w:val="18"/>
      </w:rPr>
      <w:t>Consumer Affairs</w:t>
    </w:r>
    <w:r>
      <w:rPr>
        <w:rFonts w:ascii="Rockwell" w:hAnsi="Rockwell"/>
        <w:sz w:val="18"/>
        <w:szCs w:val="18"/>
      </w:rPr>
      <w:t>: (758) 452-6479/452-3141</w:t>
    </w:r>
  </w:p>
  <w:p w:rsidR="00F0353E" w:rsidRDefault="00E7745A" w:rsidP="00F0353E">
    <w:pPr>
      <w:pStyle w:val="Footer"/>
      <w:jc w:val="center"/>
      <w:rPr>
        <w:rFonts w:ascii="Rockwell" w:hAnsi="Rockwell"/>
        <w:sz w:val="18"/>
        <w:szCs w:val="18"/>
      </w:rPr>
    </w:pPr>
    <w:r w:rsidRPr="00F0353E">
      <w:rPr>
        <w:rFonts w:ascii="Rockwell" w:hAnsi="Rockwell"/>
        <w:b/>
        <w:sz w:val="18"/>
        <w:szCs w:val="18"/>
      </w:rPr>
      <w:t>SEDU</w:t>
    </w:r>
    <w:r w:rsidR="00F0353E">
      <w:rPr>
        <w:rFonts w:ascii="Rockwell" w:hAnsi="Rockwell"/>
        <w:b/>
        <w:sz w:val="18"/>
        <w:szCs w:val="18"/>
      </w:rPr>
      <w:t>:</w:t>
    </w:r>
    <w:r w:rsidRPr="00F0353E">
      <w:rPr>
        <w:rFonts w:ascii="Rockwell" w:hAnsi="Rockwell"/>
        <w:b/>
        <w:sz w:val="18"/>
        <w:szCs w:val="18"/>
      </w:rPr>
      <w:t xml:space="preserve"> </w:t>
    </w:r>
    <w:r w:rsidR="00F0353E">
      <w:rPr>
        <w:rFonts w:ascii="Rockwell" w:hAnsi="Rockwell"/>
        <w:b/>
        <w:sz w:val="18"/>
        <w:szCs w:val="18"/>
      </w:rPr>
      <w:t>(758)</w:t>
    </w:r>
    <w:r w:rsidR="00F0353E">
      <w:rPr>
        <w:rFonts w:ascii="Rockwell" w:hAnsi="Rockwell"/>
        <w:sz w:val="18"/>
        <w:szCs w:val="18"/>
      </w:rPr>
      <w:t xml:space="preserve"> 453-2891 *</w:t>
    </w:r>
    <w:r w:rsidR="00F0353E" w:rsidRPr="00F0353E">
      <w:rPr>
        <w:rFonts w:ascii="Rockwell" w:hAnsi="Rockwell"/>
        <w:b/>
        <w:sz w:val="18"/>
        <w:szCs w:val="18"/>
      </w:rPr>
      <w:t>*</w:t>
    </w:r>
    <w:r w:rsidR="00F0353E">
      <w:rPr>
        <w:rFonts w:ascii="Rockwell" w:hAnsi="Rockwell"/>
        <w:b/>
        <w:sz w:val="18"/>
        <w:szCs w:val="18"/>
      </w:rPr>
      <w:t xml:space="preserve"> </w:t>
    </w:r>
    <w:r w:rsidR="00F0353E" w:rsidRPr="00F0353E">
      <w:rPr>
        <w:rFonts w:ascii="Rockwell" w:hAnsi="Rockwell"/>
        <w:b/>
        <w:sz w:val="18"/>
        <w:szCs w:val="18"/>
      </w:rPr>
      <w:t>Administration</w:t>
    </w:r>
    <w:r w:rsidR="00F0353E" w:rsidRPr="00F0353E">
      <w:rPr>
        <w:rFonts w:ascii="Rockwell" w:hAnsi="Rockwell"/>
        <w:sz w:val="18"/>
        <w:szCs w:val="18"/>
      </w:rPr>
      <w:t xml:space="preserve">: (758) 452-2627 </w:t>
    </w:r>
  </w:p>
  <w:p w:rsidR="00232AED" w:rsidRPr="00F0353E" w:rsidRDefault="00F0353E" w:rsidP="00F0353E">
    <w:pPr>
      <w:pStyle w:val="Footer"/>
      <w:jc w:val="center"/>
      <w:rPr>
        <w:rFonts w:ascii="Rockwell" w:hAnsi="Rockwell"/>
        <w:sz w:val="18"/>
        <w:szCs w:val="18"/>
      </w:rPr>
    </w:pPr>
    <w:r w:rsidRPr="00F0353E">
      <w:rPr>
        <w:rFonts w:ascii="Rockwell" w:hAnsi="Rockwell"/>
        <w:b/>
        <w:sz w:val="18"/>
        <w:szCs w:val="18"/>
      </w:rPr>
      <w:t>Fax:</w:t>
    </w:r>
    <w:r>
      <w:rPr>
        <w:rFonts w:ascii="Rockwell" w:hAnsi="Rockwell"/>
        <w:b/>
        <w:sz w:val="18"/>
        <w:szCs w:val="18"/>
      </w:rPr>
      <w:t xml:space="preserve"> </w:t>
    </w:r>
    <w:r w:rsidRPr="00F0353E">
      <w:rPr>
        <w:rFonts w:ascii="Rockwell" w:hAnsi="Rockwell"/>
        <w:sz w:val="18"/>
        <w:szCs w:val="18"/>
      </w:rPr>
      <w:t>(758) 453-7347 *</w:t>
    </w:r>
    <w:r>
      <w:rPr>
        <w:rFonts w:ascii="Rockwell" w:hAnsi="Rockwell"/>
        <w:sz w:val="18"/>
        <w:szCs w:val="18"/>
      </w:rPr>
      <w:t>*</w:t>
    </w:r>
    <w:r w:rsidRPr="00F0353E">
      <w:rPr>
        <w:rFonts w:ascii="Rockwell" w:hAnsi="Rockwell"/>
        <w:b/>
        <w:sz w:val="18"/>
        <w:szCs w:val="18"/>
      </w:rPr>
      <w:t xml:space="preserve"> Email: </w:t>
    </w:r>
    <w:hyperlink r:id="rId1" w:history="1">
      <w:r w:rsidRPr="00F0353E">
        <w:rPr>
          <w:rStyle w:val="Hyperlink"/>
          <w:rFonts w:ascii="Rockwell" w:hAnsi="Rockwell"/>
          <w:sz w:val="18"/>
          <w:szCs w:val="18"/>
        </w:rPr>
        <w:t>mincommerce@gosl.gov.lc</w:t>
      </w:r>
    </w:hyperlink>
    <w:r w:rsidRPr="00F0353E">
      <w:rPr>
        <w:rFonts w:ascii="Rockwell" w:hAnsi="Rockwell"/>
        <w:sz w:val="18"/>
        <w:szCs w:val="18"/>
      </w:rPr>
      <w:t xml:space="preserve">  </w:t>
    </w:r>
    <w:r>
      <w:rPr>
        <w:rFonts w:ascii="Rockwell" w:hAnsi="Rockwell"/>
        <w:sz w:val="18"/>
        <w:szCs w:val="18"/>
      </w:rPr>
      <w:t xml:space="preserve">** </w:t>
    </w:r>
    <w:r w:rsidRPr="00F0353E">
      <w:rPr>
        <w:rFonts w:ascii="Rockwell" w:hAnsi="Rockwell"/>
        <w:b/>
        <w:sz w:val="18"/>
        <w:szCs w:val="18"/>
      </w:rPr>
      <w:t>Website</w:t>
    </w:r>
    <w:r>
      <w:rPr>
        <w:rFonts w:ascii="Rockwell" w:hAnsi="Rockwell"/>
        <w:b/>
        <w:sz w:val="18"/>
        <w:szCs w:val="18"/>
      </w:rPr>
      <w:t xml:space="preserve"> URL</w:t>
    </w:r>
    <w:r w:rsidRPr="00F0353E">
      <w:rPr>
        <w:rFonts w:ascii="Rockwell" w:hAnsi="Rockwell"/>
        <w:b/>
        <w:sz w:val="18"/>
        <w:szCs w:val="18"/>
      </w:rPr>
      <w:t>:</w:t>
    </w:r>
    <w:r w:rsidRPr="00F0353E">
      <w:rPr>
        <w:rFonts w:ascii="Rockwell" w:hAnsi="Rockwell"/>
        <w:sz w:val="18"/>
        <w:szCs w:val="18"/>
      </w:rPr>
      <w:t xml:space="preserve"> </w:t>
    </w:r>
    <w:hyperlink r:id="rId2" w:history="1">
      <w:r w:rsidR="00232AED" w:rsidRPr="00F0353E">
        <w:rPr>
          <w:rStyle w:val="Hyperlink"/>
          <w:rFonts w:ascii="Rockwell" w:hAnsi="Rockwell"/>
          <w:sz w:val="18"/>
          <w:szCs w:val="18"/>
        </w:rPr>
        <w:t>http://www.commerce.gov.lc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EA" w:rsidRDefault="001D11EA">
      <w:r>
        <w:separator/>
      </w:r>
    </w:p>
  </w:footnote>
  <w:footnote w:type="continuationSeparator" w:id="0">
    <w:p w:rsidR="001D11EA" w:rsidRDefault="001D11EA">
      <w:r>
        <w:continuationSeparator/>
      </w:r>
    </w:p>
  </w:footnote>
  <w:footnote w:id="1">
    <w:p w:rsidR="00D83155" w:rsidRDefault="00D83155" w:rsidP="00D83155">
      <w:pPr>
        <w:pStyle w:val="FootnoteText"/>
        <w:rPr>
          <w:lang w:val="en-029"/>
        </w:rPr>
      </w:pPr>
    </w:p>
    <w:p w:rsidR="00D83155" w:rsidRPr="001A7160" w:rsidRDefault="00D83155" w:rsidP="00D83155">
      <w:pPr>
        <w:pStyle w:val="FootnoteText"/>
        <w:rPr>
          <w:lang w:val="en-029"/>
        </w:rPr>
      </w:pPr>
      <w:r>
        <w:rPr>
          <w:rStyle w:val="FootnoteReference"/>
        </w:rPr>
        <w:footnoteRef/>
      </w:r>
      <w:r>
        <w:t xml:space="preserve"> </w:t>
      </w:r>
      <w:r>
        <w:rPr>
          <w:lang w:val="en-029"/>
        </w:rPr>
        <w:t>The More Developed Countries (MDCs) of CARICOM are Jamaica, Trinidad &amp; Tobago, Barbados, Guyana and Suriname.</w:t>
      </w:r>
    </w:p>
    <w:p w:rsidR="00D83155" w:rsidRPr="001A7160" w:rsidRDefault="00D83155" w:rsidP="00D83155">
      <w:pPr>
        <w:pStyle w:val="FootnoteText"/>
        <w:rPr>
          <w:lang w:val="en-029"/>
        </w:rPr>
      </w:pPr>
      <w:r>
        <w:t xml:space="preserve">2 </w:t>
      </w:r>
      <w:r>
        <w:rPr>
          <w:lang w:val="en-029"/>
        </w:rPr>
        <w:t>The eligible Countries which make up the OECS include Antigua &amp; Barbuda, Dominica, Grenada, Montserrat, St. Kitts &amp; Nevis, Saint Lucia and St. Vincent and the Grenadines</w:t>
      </w:r>
    </w:p>
  </w:footnote>
  <w:footnote w:id="2">
    <w:p w:rsidR="00D83155" w:rsidRPr="001A7160" w:rsidRDefault="00D83155" w:rsidP="00D83155">
      <w:pPr>
        <w:pStyle w:val="FootnoteText"/>
        <w:rPr>
          <w:lang w:val="en-02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5A" w:rsidRDefault="008160D4" w:rsidP="005C67F3">
    <w:pPr>
      <w:ind w:left="3600" w:firstLine="720"/>
      <w:rPr>
        <w:rFonts w:ascii="Rockwell" w:hAnsi="Rockwell"/>
      </w:rPr>
    </w:pPr>
    <w:r>
      <w:rPr>
        <w:rFonts w:ascii="Rockwell" w:hAnsi="Rockwell"/>
        <w:noProof/>
        <w:lang w:val="en-029" w:eastAsia="en-029"/>
      </w:rPr>
      <w:drawing>
        <wp:inline distT="0" distB="0" distL="0" distR="0" wp14:anchorId="3E7870DA" wp14:editId="2D8E302A">
          <wp:extent cx="752475" cy="685800"/>
          <wp:effectExtent l="0" t="0" r="0" b="0"/>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p w:rsidR="00AA0365" w:rsidRPr="000C500B" w:rsidRDefault="00AA0365">
    <w:pPr>
      <w:jc w:val="center"/>
      <w:rPr>
        <w:rFonts w:ascii="Rockwell" w:hAnsi="Rockwell"/>
        <w:b/>
        <w:sz w:val="28"/>
        <w:szCs w:val="28"/>
      </w:rPr>
    </w:pPr>
    <w:r w:rsidRPr="000C500B">
      <w:rPr>
        <w:rFonts w:ascii="Rockwell" w:hAnsi="Rockwell"/>
        <w:b/>
        <w:sz w:val="28"/>
        <w:szCs w:val="28"/>
      </w:rPr>
      <w:t>GOVERNMENT OF SAINT LUCIA</w:t>
    </w:r>
  </w:p>
  <w:p w:rsidR="00E7745A" w:rsidRPr="004D31E0" w:rsidRDefault="00BC47CC" w:rsidP="004D31E0">
    <w:pPr>
      <w:jc w:val="center"/>
      <w:rPr>
        <w:rFonts w:ascii="Rockwell" w:hAnsi="Rockwell"/>
        <w:b/>
        <w:sz w:val="20"/>
        <w:szCs w:val="20"/>
      </w:rPr>
    </w:pPr>
    <w:r>
      <w:rPr>
        <w:rFonts w:ascii="Rockwell" w:hAnsi="Rockwell"/>
        <w:b/>
        <w:sz w:val="20"/>
        <w:szCs w:val="20"/>
      </w:rPr>
      <w:t>MINISTRY</w:t>
    </w:r>
    <w:r w:rsidR="00E7745A" w:rsidRPr="00E45DC8">
      <w:rPr>
        <w:rFonts w:ascii="Rockwell" w:hAnsi="Rockwell"/>
        <w:b/>
        <w:sz w:val="20"/>
        <w:szCs w:val="20"/>
      </w:rPr>
      <w:t xml:space="preserve"> OF </w:t>
    </w:r>
    <w:r w:rsidR="000E754D" w:rsidRPr="00E45DC8">
      <w:rPr>
        <w:rFonts w:ascii="Rockwell" w:hAnsi="Rockwell"/>
        <w:b/>
        <w:sz w:val="20"/>
        <w:szCs w:val="20"/>
      </w:rPr>
      <w:t>C</w:t>
    </w:r>
    <w:r w:rsidR="00E7745A" w:rsidRPr="00E45DC8">
      <w:rPr>
        <w:rFonts w:ascii="Rockwell" w:hAnsi="Rockwell"/>
        <w:b/>
        <w:sz w:val="20"/>
        <w:szCs w:val="20"/>
      </w:rPr>
      <w:t>OMMERCE</w:t>
    </w:r>
    <w:r w:rsidR="005F4FE4" w:rsidRPr="00E45DC8">
      <w:rPr>
        <w:rFonts w:ascii="Rockwell" w:hAnsi="Rockwell"/>
        <w:b/>
        <w:sz w:val="20"/>
        <w:szCs w:val="20"/>
      </w:rPr>
      <w:t xml:space="preserve">, </w:t>
    </w:r>
    <w:r w:rsidR="00555AE9">
      <w:rPr>
        <w:rFonts w:ascii="Rockwell" w:hAnsi="Rockwell"/>
        <w:b/>
        <w:sz w:val="20"/>
        <w:szCs w:val="20"/>
      </w:rPr>
      <w:t>INTERNATIONAL TRADE</w:t>
    </w:r>
    <w:r w:rsidR="00E45DC8" w:rsidRPr="00E45DC8">
      <w:rPr>
        <w:rFonts w:ascii="Rockwell" w:hAnsi="Rockwell"/>
        <w:b/>
        <w:sz w:val="20"/>
        <w:szCs w:val="20"/>
      </w:rPr>
      <w:t>, INVESTMENT</w:t>
    </w:r>
    <w:r w:rsidR="00555AE9">
      <w:rPr>
        <w:rFonts w:ascii="Rockwell" w:hAnsi="Rockwell"/>
        <w:b/>
        <w:sz w:val="20"/>
        <w:szCs w:val="20"/>
      </w:rPr>
      <w:t>, ENTERPRISE DEVELOPMENT</w:t>
    </w:r>
    <w:r w:rsidR="00E45DC8" w:rsidRPr="00E45DC8">
      <w:rPr>
        <w:rFonts w:ascii="Rockwell" w:hAnsi="Rockwell"/>
        <w:b/>
        <w:sz w:val="20"/>
        <w:szCs w:val="20"/>
      </w:rPr>
      <w:t xml:space="preserve"> </w:t>
    </w:r>
    <w:r w:rsidR="002C3437" w:rsidRPr="00E45DC8">
      <w:rPr>
        <w:rFonts w:ascii="Rockwell" w:hAnsi="Rockwell"/>
        <w:b/>
        <w:sz w:val="20"/>
        <w:szCs w:val="20"/>
      </w:rPr>
      <w:t xml:space="preserve">AND </w:t>
    </w:r>
    <w:r w:rsidR="005F4FE4" w:rsidRPr="00E45DC8">
      <w:rPr>
        <w:rFonts w:ascii="Rockwell" w:hAnsi="Rockwell"/>
        <w:b/>
        <w:sz w:val="20"/>
        <w:szCs w:val="20"/>
      </w:rPr>
      <w:t>CONSUMER</w:t>
    </w:r>
    <w:r w:rsidR="000E754D" w:rsidRPr="00E45DC8">
      <w:rPr>
        <w:rFonts w:ascii="Rockwell" w:hAnsi="Rockwell"/>
        <w:b/>
        <w:sz w:val="20"/>
        <w:szCs w:val="20"/>
      </w:rPr>
      <w:t xml:space="preserve"> AFFAIRS</w:t>
    </w:r>
    <w:r w:rsidR="002C3437" w:rsidRPr="00E45DC8">
      <w:rPr>
        <w:rFonts w:ascii="Rockwell" w:hAnsi="Rockwell"/>
        <w:b/>
        <w:sz w:val="20"/>
        <w:szCs w:val="20"/>
      </w:rPr>
      <w:t xml:space="preserve"> </w:t>
    </w:r>
  </w:p>
  <w:p w:rsidR="006377B9" w:rsidRDefault="00637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87B"/>
    <w:multiLevelType w:val="hybridMultilevel"/>
    <w:tmpl w:val="7C78858A"/>
    <w:lvl w:ilvl="0" w:tplc="DCB0F7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113B7"/>
    <w:multiLevelType w:val="hybridMultilevel"/>
    <w:tmpl w:val="FC6A0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07DF4"/>
    <w:multiLevelType w:val="hybridMultilevel"/>
    <w:tmpl w:val="ADE2508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2613611A"/>
    <w:multiLevelType w:val="hybridMultilevel"/>
    <w:tmpl w:val="EC28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1D5278"/>
    <w:multiLevelType w:val="hybridMultilevel"/>
    <w:tmpl w:val="1AB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F797E"/>
    <w:multiLevelType w:val="hybridMultilevel"/>
    <w:tmpl w:val="4A5040B6"/>
    <w:lvl w:ilvl="0" w:tplc="466AA5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4D"/>
    <w:rsid w:val="00004C31"/>
    <w:rsid w:val="0004038D"/>
    <w:rsid w:val="00040E31"/>
    <w:rsid w:val="00050062"/>
    <w:rsid w:val="0006276D"/>
    <w:rsid w:val="00062A22"/>
    <w:rsid w:val="00062E6B"/>
    <w:rsid w:val="00063DC9"/>
    <w:rsid w:val="000958B1"/>
    <w:rsid w:val="000C500B"/>
    <w:rsid w:val="000D2049"/>
    <w:rsid w:val="000D3438"/>
    <w:rsid w:val="000D4849"/>
    <w:rsid w:val="000E7020"/>
    <w:rsid w:val="000E754D"/>
    <w:rsid w:val="000F3AB6"/>
    <w:rsid w:val="000F6942"/>
    <w:rsid w:val="000F7BC3"/>
    <w:rsid w:val="00107E44"/>
    <w:rsid w:val="00111952"/>
    <w:rsid w:val="001158BD"/>
    <w:rsid w:val="001169DE"/>
    <w:rsid w:val="0012046F"/>
    <w:rsid w:val="0013759E"/>
    <w:rsid w:val="00151BD4"/>
    <w:rsid w:val="0016483F"/>
    <w:rsid w:val="001706AB"/>
    <w:rsid w:val="00187BD5"/>
    <w:rsid w:val="001A0D1E"/>
    <w:rsid w:val="001A107D"/>
    <w:rsid w:val="001A7099"/>
    <w:rsid w:val="001B5BD9"/>
    <w:rsid w:val="001D11EA"/>
    <w:rsid w:val="001E0C51"/>
    <w:rsid w:val="001E10A8"/>
    <w:rsid w:val="001E7A6E"/>
    <w:rsid w:val="001F6810"/>
    <w:rsid w:val="00202100"/>
    <w:rsid w:val="00212683"/>
    <w:rsid w:val="002249FC"/>
    <w:rsid w:val="00232AED"/>
    <w:rsid w:val="0023352B"/>
    <w:rsid w:val="0023684A"/>
    <w:rsid w:val="00243C79"/>
    <w:rsid w:val="0024655E"/>
    <w:rsid w:val="00261214"/>
    <w:rsid w:val="0026246B"/>
    <w:rsid w:val="00262F5C"/>
    <w:rsid w:val="00276750"/>
    <w:rsid w:val="00281658"/>
    <w:rsid w:val="00281F24"/>
    <w:rsid w:val="00282B3F"/>
    <w:rsid w:val="00285527"/>
    <w:rsid w:val="00286229"/>
    <w:rsid w:val="00292C6F"/>
    <w:rsid w:val="002A0302"/>
    <w:rsid w:val="002A0B10"/>
    <w:rsid w:val="002C3437"/>
    <w:rsid w:val="002C4A7B"/>
    <w:rsid w:val="002C6042"/>
    <w:rsid w:val="002E0AD4"/>
    <w:rsid w:val="002F179C"/>
    <w:rsid w:val="002F260B"/>
    <w:rsid w:val="002F4DD6"/>
    <w:rsid w:val="002F589D"/>
    <w:rsid w:val="00304B8C"/>
    <w:rsid w:val="00336829"/>
    <w:rsid w:val="00343B1C"/>
    <w:rsid w:val="00355F10"/>
    <w:rsid w:val="003774FE"/>
    <w:rsid w:val="003A425D"/>
    <w:rsid w:val="003A44EC"/>
    <w:rsid w:val="003C2D2F"/>
    <w:rsid w:val="003D0A3E"/>
    <w:rsid w:val="00411DB1"/>
    <w:rsid w:val="004231A1"/>
    <w:rsid w:val="0043077D"/>
    <w:rsid w:val="00432CF9"/>
    <w:rsid w:val="004344BB"/>
    <w:rsid w:val="00466482"/>
    <w:rsid w:val="004743F0"/>
    <w:rsid w:val="00474FB9"/>
    <w:rsid w:val="00487B79"/>
    <w:rsid w:val="00490325"/>
    <w:rsid w:val="00496455"/>
    <w:rsid w:val="004967FD"/>
    <w:rsid w:val="004A372A"/>
    <w:rsid w:val="004C3D05"/>
    <w:rsid w:val="004D31E0"/>
    <w:rsid w:val="004F014A"/>
    <w:rsid w:val="00503C44"/>
    <w:rsid w:val="005300FD"/>
    <w:rsid w:val="00532E81"/>
    <w:rsid w:val="00555AE9"/>
    <w:rsid w:val="00562A12"/>
    <w:rsid w:val="0056768D"/>
    <w:rsid w:val="0059769F"/>
    <w:rsid w:val="005B0FB8"/>
    <w:rsid w:val="005B37B6"/>
    <w:rsid w:val="005C67F3"/>
    <w:rsid w:val="005D3820"/>
    <w:rsid w:val="005D4814"/>
    <w:rsid w:val="005D50BB"/>
    <w:rsid w:val="005D7A5A"/>
    <w:rsid w:val="005F4FE4"/>
    <w:rsid w:val="00614DF8"/>
    <w:rsid w:val="00620D64"/>
    <w:rsid w:val="00620F9E"/>
    <w:rsid w:val="006360FD"/>
    <w:rsid w:val="00637542"/>
    <w:rsid w:val="006377B9"/>
    <w:rsid w:val="00647F5C"/>
    <w:rsid w:val="00677EBB"/>
    <w:rsid w:val="006A0A35"/>
    <w:rsid w:val="006A4C73"/>
    <w:rsid w:val="006A5C05"/>
    <w:rsid w:val="006C3296"/>
    <w:rsid w:val="006C4B10"/>
    <w:rsid w:val="006C4F42"/>
    <w:rsid w:val="006D24ED"/>
    <w:rsid w:val="006D4611"/>
    <w:rsid w:val="006F0C2F"/>
    <w:rsid w:val="006F5EAA"/>
    <w:rsid w:val="0070271C"/>
    <w:rsid w:val="007162EE"/>
    <w:rsid w:val="00735983"/>
    <w:rsid w:val="007508C5"/>
    <w:rsid w:val="0075656A"/>
    <w:rsid w:val="007575CC"/>
    <w:rsid w:val="007738EF"/>
    <w:rsid w:val="007807EA"/>
    <w:rsid w:val="007C515A"/>
    <w:rsid w:val="007D39C4"/>
    <w:rsid w:val="007E0CE0"/>
    <w:rsid w:val="007E62F0"/>
    <w:rsid w:val="007F6075"/>
    <w:rsid w:val="00800783"/>
    <w:rsid w:val="00801FEC"/>
    <w:rsid w:val="008160D4"/>
    <w:rsid w:val="0082604F"/>
    <w:rsid w:val="00844143"/>
    <w:rsid w:val="00851B14"/>
    <w:rsid w:val="00862E2C"/>
    <w:rsid w:val="00871401"/>
    <w:rsid w:val="00871FBE"/>
    <w:rsid w:val="0088516B"/>
    <w:rsid w:val="00895398"/>
    <w:rsid w:val="008A09E7"/>
    <w:rsid w:val="008A246E"/>
    <w:rsid w:val="008A7B63"/>
    <w:rsid w:val="008B517E"/>
    <w:rsid w:val="008D526A"/>
    <w:rsid w:val="008F0C0F"/>
    <w:rsid w:val="00902E33"/>
    <w:rsid w:val="00906247"/>
    <w:rsid w:val="00972008"/>
    <w:rsid w:val="009739A8"/>
    <w:rsid w:val="009868B2"/>
    <w:rsid w:val="00986D7F"/>
    <w:rsid w:val="009D16CA"/>
    <w:rsid w:val="009D181E"/>
    <w:rsid w:val="009F245B"/>
    <w:rsid w:val="009F7FF0"/>
    <w:rsid w:val="00A01AC2"/>
    <w:rsid w:val="00A04E88"/>
    <w:rsid w:val="00A17782"/>
    <w:rsid w:val="00A21606"/>
    <w:rsid w:val="00A2710F"/>
    <w:rsid w:val="00A30E28"/>
    <w:rsid w:val="00A40221"/>
    <w:rsid w:val="00A43213"/>
    <w:rsid w:val="00A57994"/>
    <w:rsid w:val="00A64A63"/>
    <w:rsid w:val="00A73D39"/>
    <w:rsid w:val="00A869A8"/>
    <w:rsid w:val="00A86BB9"/>
    <w:rsid w:val="00AA0140"/>
    <w:rsid w:val="00AA0365"/>
    <w:rsid w:val="00AB382A"/>
    <w:rsid w:val="00AC6899"/>
    <w:rsid w:val="00AC6ED9"/>
    <w:rsid w:val="00AE077A"/>
    <w:rsid w:val="00AF25C5"/>
    <w:rsid w:val="00AF399F"/>
    <w:rsid w:val="00AF7F92"/>
    <w:rsid w:val="00B039BA"/>
    <w:rsid w:val="00B50E24"/>
    <w:rsid w:val="00B52D26"/>
    <w:rsid w:val="00B608E1"/>
    <w:rsid w:val="00B6470C"/>
    <w:rsid w:val="00B70B7A"/>
    <w:rsid w:val="00B93374"/>
    <w:rsid w:val="00BA70BE"/>
    <w:rsid w:val="00BB2F04"/>
    <w:rsid w:val="00BC0490"/>
    <w:rsid w:val="00BC47CC"/>
    <w:rsid w:val="00BF1875"/>
    <w:rsid w:val="00C049D6"/>
    <w:rsid w:val="00C15A9F"/>
    <w:rsid w:val="00C15E9A"/>
    <w:rsid w:val="00C34648"/>
    <w:rsid w:val="00C414D1"/>
    <w:rsid w:val="00C6013A"/>
    <w:rsid w:val="00C70EC6"/>
    <w:rsid w:val="00C77BE5"/>
    <w:rsid w:val="00C8060E"/>
    <w:rsid w:val="00CC3F5F"/>
    <w:rsid w:val="00CC5FE1"/>
    <w:rsid w:val="00CD00C1"/>
    <w:rsid w:val="00D0667E"/>
    <w:rsid w:val="00D074FC"/>
    <w:rsid w:val="00D44D2B"/>
    <w:rsid w:val="00D501F4"/>
    <w:rsid w:val="00D52B04"/>
    <w:rsid w:val="00D638CC"/>
    <w:rsid w:val="00D83155"/>
    <w:rsid w:val="00D83B35"/>
    <w:rsid w:val="00DA2232"/>
    <w:rsid w:val="00DA5679"/>
    <w:rsid w:val="00DB09E6"/>
    <w:rsid w:val="00DB5AFC"/>
    <w:rsid w:val="00DD2B04"/>
    <w:rsid w:val="00E15272"/>
    <w:rsid w:val="00E17DAE"/>
    <w:rsid w:val="00E21053"/>
    <w:rsid w:val="00E3713A"/>
    <w:rsid w:val="00E45DC8"/>
    <w:rsid w:val="00E569F1"/>
    <w:rsid w:val="00E714A6"/>
    <w:rsid w:val="00E721F0"/>
    <w:rsid w:val="00E7239E"/>
    <w:rsid w:val="00E74B80"/>
    <w:rsid w:val="00E7745A"/>
    <w:rsid w:val="00E857E5"/>
    <w:rsid w:val="00E87700"/>
    <w:rsid w:val="00EB5EF9"/>
    <w:rsid w:val="00EC5565"/>
    <w:rsid w:val="00ED46B7"/>
    <w:rsid w:val="00EE168D"/>
    <w:rsid w:val="00EF2BA8"/>
    <w:rsid w:val="00EF4416"/>
    <w:rsid w:val="00F0353E"/>
    <w:rsid w:val="00F05CD8"/>
    <w:rsid w:val="00F43699"/>
    <w:rsid w:val="00F459E2"/>
    <w:rsid w:val="00F60CBA"/>
    <w:rsid w:val="00F62532"/>
    <w:rsid w:val="00F64A5F"/>
    <w:rsid w:val="00F67976"/>
    <w:rsid w:val="00F8229A"/>
    <w:rsid w:val="00F9323F"/>
    <w:rsid w:val="00FA518C"/>
    <w:rsid w:val="00FB14AE"/>
    <w:rsid w:val="00FC723E"/>
    <w:rsid w:val="00FF352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F24"/>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ahoma" w:hAnsi="Tahoma" w:cs="Tahoma"/>
      <w:b/>
      <w:bCs/>
      <w:sz w:val="16"/>
      <w:szCs w:val="22"/>
    </w:rPr>
  </w:style>
  <w:style w:type="paragraph" w:styleId="Heading3">
    <w:name w:val="heading 3"/>
    <w:basedOn w:val="Normal"/>
    <w:next w:val="Normal"/>
    <w:qFormat/>
    <w:pPr>
      <w:keepNext/>
      <w:jc w:val="both"/>
      <w:outlineLvl w:val="2"/>
    </w:pPr>
    <w:rPr>
      <w:rFonts w:ascii="Lucida Fax" w:hAnsi="Lucida Fax"/>
      <w:b/>
      <w:sz w:val="22"/>
      <w:szCs w:val="21"/>
    </w:rPr>
  </w:style>
  <w:style w:type="paragraph" w:styleId="Heading4">
    <w:name w:val="heading 4"/>
    <w:basedOn w:val="Normal"/>
    <w:next w:val="Normal"/>
    <w:qFormat/>
    <w:pPr>
      <w:keepNext/>
      <w:outlineLvl w:val="3"/>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F0C2F"/>
    <w:rPr>
      <w:rFonts w:ascii="Calibri" w:eastAsia="Calibri" w:hAnsi="Calibri"/>
      <w:sz w:val="22"/>
      <w:szCs w:val="22"/>
      <w:lang w:val="en-US" w:eastAsia="en-US"/>
    </w:rPr>
  </w:style>
  <w:style w:type="paragraph" w:styleId="FootnoteText">
    <w:name w:val="footnote text"/>
    <w:basedOn w:val="Normal"/>
    <w:link w:val="FootnoteTextChar"/>
    <w:uiPriority w:val="99"/>
    <w:unhideWhenUsed/>
    <w:rsid w:val="00D8315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D83155"/>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D83155"/>
    <w:rPr>
      <w:vertAlign w:val="superscript"/>
    </w:rPr>
  </w:style>
  <w:style w:type="table" w:styleId="TableGrid">
    <w:name w:val="Table Grid"/>
    <w:basedOn w:val="TableNormal"/>
    <w:uiPriority w:val="39"/>
    <w:rsid w:val="00D8315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F24"/>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ahoma" w:hAnsi="Tahoma" w:cs="Tahoma"/>
      <w:b/>
      <w:bCs/>
      <w:sz w:val="16"/>
      <w:szCs w:val="22"/>
    </w:rPr>
  </w:style>
  <w:style w:type="paragraph" w:styleId="Heading3">
    <w:name w:val="heading 3"/>
    <w:basedOn w:val="Normal"/>
    <w:next w:val="Normal"/>
    <w:qFormat/>
    <w:pPr>
      <w:keepNext/>
      <w:jc w:val="both"/>
      <w:outlineLvl w:val="2"/>
    </w:pPr>
    <w:rPr>
      <w:rFonts w:ascii="Lucida Fax" w:hAnsi="Lucida Fax"/>
      <w:b/>
      <w:sz w:val="22"/>
      <w:szCs w:val="21"/>
    </w:rPr>
  </w:style>
  <w:style w:type="paragraph" w:styleId="Heading4">
    <w:name w:val="heading 4"/>
    <w:basedOn w:val="Normal"/>
    <w:next w:val="Normal"/>
    <w:qFormat/>
    <w:pPr>
      <w:keepNext/>
      <w:outlineLvl w:val="3"/>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F0C2F"/>
    <w:rPr>
      <w:rFonts w:ascii="Calibri" w:eastAsia="Calibri" w:hAnsi="Calibri"/>
      <w:sz w:val="22"/>
      <w:szCs w:val="22"/>
      <w:lang w:val="en-US" w:eastAsia="en-US"/>
    </w:rPr>
  </w:style>
  <w:style w:type="paragraph" w:styleId="FootnoteText">
    <w:name w:val="footnote text"/>
    <w:basedOn w:val="Normal"/>
    <w:link w:val="FootnoteTextChar"/>
    <w:uiPriority w:val="99"/>
    <w:unhideWhenUsed/>
    <w:rsid w:val="00D8315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D83155"/>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D83155"/>
    <w:rPr>
      <w:vertAlign w:val="superscript"/>
    </w:rPr>
  </w:style>
  <w:style w:type="table" w:styleId="TableGrid">
    <w:name w:val="Table Grid"/>
    <w:basedOn w:val="TableNormal"/>
    <w:uiPriority w:val="39"/>
    <w:rsid w:val="00D8315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mmerce.gov.lc" TargetMode="External"/><Relationship Id="rId1" Type="http://schemas.openxmlformats.org/officeDocument/2006/relationships/hyperlink" Target="mailto:mincommerce@gosl.gov.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9573-0BAE-4719-98EE-318201A0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March 31, 2005</vt:lpstr>
    </vt:vector>
  </TitlesOfParts>
  <Company>Goverment Ministry</Company>
  <LinksUpToDate>false</LinksUpToDate>
  <CharactersWithSpaces>2911</CharactersWithSpaces>
  <SharedDoc>false</SharedDoc>
  <HLinks>
    <vt:vector size="12" baseType="variant">
      <vt:variant>
        <vt:i4>3080248</vt:i4>
      </vt:variant>
      <vt:variant>
        <vt:i4>3</vt:i4>
      </vt:variant>
      <vt:variant>
        <vt:i4>0</vt:i4>
      </vt:variant>
      <vt:variant>
        <vt:i4>5</vt:i4>
      </vt:variant>
      <vt:variant>
        <vt:lpwstr>http://www.commerce.gov.lc/</vt:lpwstr>
      </vt:variant>
      <vt:variant>
        <vt:lpwstr/>
      </vt:variant>
      <vt:variant>
        <vt:i4>7077909</vt:i4>
      </vt:variant>
      <vt:variant>
        <vt:i4>0</vt:i4>
      </vt:variant>
      <vt:variant>
        <vt:i4>0</vt:i4>
      </vt:variant>
      <vt:variant>
        <vt:i4>5</vt:i4>
      </vt:variant>
      <vt:variant>
        <vt:lpwstr>mailto:mincommerce@gosl.gov.lc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2005</dc:title>
  <dc:creator>Goverment Ministry</dc:creator>
  <cp:lastModifiedBy>Lydia Dariah</cp:lastModifiedBy>
  <cp:revision>10</cp:revision>
  <cp:lastPrinted>2019-03-27T19:41:00Z</cp:lastPrinted>
  <dcterms:created xsi:type="dcterms:W3CDTF">2019-03-26T19:32:00Z</dcterms:created>
  <dcterms:modified xsi:type="dcterms:W3CDTF">2019-03-27T20:06:00Z</dcterms:modified>
</cp:coreProperties>
</file>