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D3" w:rsidRPr="007029F3" w:rsidRDefault="000C56FA" w:rsidP="006D06DA">
      <w:pPr>
        <w:spacing w:before="120"/>
        <w:jc w:val="center"/>
        <w:rPr>
          <w:rFonts w:ascii="Cambria" w:hAnsi="Cambria"/>
          <w:b/>
        </w:rPr>
      </w:pPr>
      <w:r w:rsidRPr="007029F3">
        <w:rPr>
          <w:rFonts w:ascii="Cambria" w:hAnsi="Cambria"/>
          <w:b/>
        </w:rPr>
        <w:t>TERMS OF REFERENCE</w:t>
      </w:r>
    </w:p>
    <w:p w:rsidR="000934D3" w:rsidRPr="007029F3" w:rsidRDefault="00AA76BE" w:rsidP="006D06DA">
      <w:pPr>
        <w:spacing w:before="120"/>
        <w:jc w:val="center"/>
        <w:rPr>
          <w:rFonts w:ascii="Cambria" w:hAnsi="Cambria"/>
          <w:b/>
        </w:rPr>
      </w:pPr>
      <w:bookmarkStart w:id="0" w:name="_Hlk11419836"/>
      <w:r>
        <w:rPr>
          <w:rFonts w:ascii="Cambria" w:hAnsi="Cambria"/>
          <w:b/>
          <w:lang w:val="en-US"/>
        </w:rPr>
        <w:t>Revision of Saint Lucia’s Licensing and Quota System for ODS under the Mo</w:t>
      </w:r>
      <w:r w:rsidR="00817D4C">
        <w:rPr>
          <w:rFonts w:ascii="Cambria" w:hAnsi="Cambria"/>
          <w:b/>
          <w:lang w:val="en-US"/>
        </w:rPr>
        <w:t xml:space="preserve">ntreal Protocol </w:t>
      </w:r>
      <w:r>
        <w:rPr>
          <w:rFonts w:ascii="Cambria" w:hAnsi="Cambria"/>
          <w:b/>
          <w:lang w:val="en-US"/>
        </w:rPr>
        <w:t>on Substances that Deplete the Ozone Layer.</w:t>
      </w:r>
    </w:p>
    <w:bookmarkEnd w:id="0"/>
    <w:p w:rsidR="00B901AC" w:rsidRPr="007029F3" w:rsidRDefault="00B901AC" w:rsidP="006D06DA">
      <w:pPr>
        <w:spacing w:before="120"/>
        <w:rPr>
          <w:rFonts w:ascii="Cambria" w:hAnsi="Cambria"/>
          <w:b/>
        </w:rPr>
      </w:pPr>
    </w:p>
    <w:p w:rsidR="00B901AC" w:rsidRPr="001934E7" w:rsidRDefault="00B901AC" w:rsidP="001934E7">
      <w:pPr>
        <w:pStyle w:val="ListParagraph"/>
        <w:numPr>
          <w:ilvl w:val="0"/>
          <w:numId w:val="16"/>
        </w:numPr>
        <w:spacing w:before="120"/>
        <w:rPr>
          <w:rFonts w:ascii="Cambria" w:hAnsi="Cambria"/>
          <w:b/>
        </w:rPr>
      </w:pPr>
      <w:r w:rsidRPr="001934E7">
        <w:rPr>
          <w:rFonts w:ascii="Cambria" w:hAnsi="Cambria"/>
          <w:b/>
        </w:rPr>
        <w:t>B</w:t>
      </w:r>
      <w:r w:rsidR="003D4455">
        <w:rPr>
          <w:rFonts w:ascii="Cambria" w:hAnsi="Cambria"/>
          <w:b/>
        </w:rPr>
        <w:t>ACKGROUND</w:t>
      </w:r>
    </w:p>
    <w:p w:rsidR="008912CC" w:rsidRPr="007029F3" w:rsidRDefault="008912CC" w:rsidP="00E9285D">
      <w:pPr>
        <w:spacing w:before="120"/>
        <w:rPr>
          <w:rFonts w:ascii="Cambria" w:eastAsia="DengXian" w:hAnsi="Cambria"/>
          <w:b/>
        </w:rPr>
      </w:pPr>
    </w:p>
    <w:p w:rsidR="005E4C63" w:rsidRPr="007029F3" w:rsidRDefault="005E4C63" w:rsidP="005E4C63">
      <w:pPr>
        <w:jc w:val="both"/>
        <w:rPr>
          <w:rFonts w:ascii="Cambria" w:hAnsi="Cambria"/>
          <w:lang w:val="en-US"/>
        </w:rPr>
      </w:pPr>
      <w:r w:rsidRPr="007029F3">
        <w:rPr>
          <w:rFonts w:ascii="Cambria" w:hAnsi="Cambria"/>
          <w:lang w:val="en-US"/>
        </w:rPr>
        <w:t xml:space="preserve">The Kigali Amendment to Montreal Protocol on Substances that Deplete the Ozone Layer (KA) was adopted at the 28th Meeting of Parties in 2016 in Kigali, Rwanda and entered into force on 1 January 2019, after its ratification by more than 20 countries. </w:t>
      </w:r>
    </w:p>
    <w:p w:rsidR="005E4C63" w:rsidRPr="007029F3" w:rsidRDefault="005E4C63" w:rsidP="005E4C63">
      <w:pPr>
        <w:jc w:val="both"/>
        <w:rPr>
          <w:rFonts w:ascii="Cambria" w:hAnsi="Cambria"/>
          <w:lang w:val="en-US"/>
        </w:rPr>
      </w:pPr>
    </w:p>
    <w:p w:rsidR="005E4C63" w:rsidRPr="007029F3" w:rsidRDefault="005E4C63" w:rsidP="005E4C63">
      <w:pPr>
        <w:jc w:val="both"/>
        <w:rPr>
          <w:rFonts w:ascii="Cambria" w:hAnsi="Cambria"/>
          <w:lang w:val="en-US"/>
        </w:rPr>
      </w:pPr>
      <w:r w:rsidRPr="007029F3">
        <w:rPr>
          <w:rFonts w:ascii="Cambria" w:hAnsi="Cambria"/>
          <w:lang w:val="en-US"/>
        </w:rPr>
        <w:t>The KA proposes to phase down the production and consumption of hydrofluorocarbons (HFCs) by mid-2040 and offers an opportunity to countries for flexibility in doing so according to the principle of common but differentiated responsibilities. HFCs are synthetic chemicals that are widely used in air-conditioning, refrigeration and foam insulation and are powerful greenhouse gases, more potent than carbon dioxide. As such</w:t>
      </w:r>
      <w:r w:rsidR="00CB174F">
        <w:rPr>
          <w:rFonts w:ascii="Cambria" w:hAnsi="Cambria"/>
          <w:lang w:val="en-US"/>
        </w:rPr>
        <w:t>,</w:t>
      </w:r>
      <w:r w:rsidRPr="007029F3">
        <w:rPr>
          <w:rFonts w:ascii="Cambria" w:hAnsi="Cambria"/>
          <w:lang w:val="en-US"/>
        </w:rPr>
        <w:t xml:space="preserve"> HFCs can contribute significantly to climate change. The KA is therefore a significant milestone in international environmental protection as achievement of its objectives could help to reduce global temperature rise by about 0.5</w:t>
      </w:r>
      <w:r w:rsidRPr="007029F3">
        <w:rPr>
          <w:rFonts w:ascii="Cambria" w:cstheme="minorHAnsi"/>
          <w:vertAlign w:val="superscript"/>
          <w:lang w:val="en-US"/>
        </w:rPr>
        <w:t>◦</w:t>
      </w:r>
      <w:r w:rsidRPr="007029F3">
        <w:rPr>
          <w:rFonts w:ascii="Cambria" w:hAnsi="Cambria"/>
          <w:lang w:val="en-US"/>
        </w:rPr>
        <w:t xml:space="preserve">C by the year 2100. </w:t>
      </w:r>
    </w:p>
    <w:p w:rsidR="005E4C63" w:rsidRPr="007029F3" w:rsidRDefault="005E4C63" w:rsidP="005E4C63">
      <w:pPr>
        <w:jc w:val="both"/>
        <w:rPr>
          <w:rFonts w:ascii="Cambria" w:hAnsi="Cambria"/>
          <w:lang w:val="en-US"/>
        </w:rPr>
      </w:pPr>
    </w:p>
    <w:p w:rsidR="005E4C63" w:rsidRPr="007029F3" w:rsidRDefault="005E4C63" w:rsidP="005E4C63">
      <w:pPr>
        <w:jc w:val="both"/>
        <w:rPr>
          <w:rFonts w:ascii="Cambria" w:hAnsi="Cambria"/>
          <w:lang w:val="en-US"/>
        </w:rPr>
      </w:pPr>
      <w:r w:rsidRPr="007029F3">
        <w:rPr>
          <w:rFonts w:ascii="Cambria" w:hAnsi="Cambria"/>
          <w:lang w:val="en-US"/>
        </w:rPr>
        <w:t>The provisions of the KA include specific targets and timetables for the (</w:t>
      </w:r>
      <w:proofErr w:type="spellStart"/>
      <w:r w:rsidRPr="007029F3">
        <w:rPr>
          <w:rFonts w:ascii="Cambria" w:hAnsi="Cambria"/>
          <w:lang w:val="en-US"/>
        </w:rPr>
        <w:t>i</w:t>
      </w:r>
      <w:proofErr w:type="spellEnd"/>
      <w:r w:rsidRPr="007029F3">
        <w:rPr>
          <w:rFonts w:ascii="Cambria" w:hAnsi="Cambria"/>
          <w:lang w:val="en-US"/>
        </w:rPr>
        <w:t>) replacement of HFCs with alternatives that have lower global warming potential (GWP) and (ii) restriction from trading in controlled substances with states that have not ratified it. The KA also highlights the importance of energy efficiency of cooling technologies and proper management of chemicals throughout their life-cycle</w:t>
      </w:r>
      <w:r w:rsidR="00817D4C">
        <w:rPr>
          <w:rFonts w:ascii="Cambria" w:hAnsi="Cambria"/>
          <w:lang w:val="en-US"/>
        </w:rPr>
        <w:t>,</w:t>
      </w:r>
      <w:r w:rsidRPr="007029F3">
        <w:rPr>
          <w:rFonts w:ascii="Cambria" w:hAnsi="Cambria"/>
          <w:lang w:val="en-US"/>
        </w:rPr>
        <w:t xml:space="preserve"> including the safe disposal and destruction of refrigerant gases.</w:t>
      </w:r>
    </w:p>
    <w:p w:rsidR="005E4C63" w:rsidRPr="007029F3" w:rsidRDefault="005E4C63" w:rsidP="005E4C63">
      <w:pPr>
        <w:jc w:val="both"/>
        <w:rPr>
          <w:rFonts w:ascii="Cambria" w:hAnsi="Cambria"/>
          <w:lang w:val="en-US"/>
        </w:rPr>
      </w:pPr>
    </w:p>
    <w:p w:rsidR="005E4C63" w:rsidRPr="007029F3" w:rsidRDefault="005E4C63" w:rsidP="005E4C63">
      <w:pPr>
        <w:jc w:val="both"/>
        <w:rPr>
          <w:rFonts w:ascii="Cambria" w:hAnsi="Cambria"/>
          <w:lang w:val="en-US"/>
        </w:rPr>
      </w:pPr>
      <w:r w:rsidRPr="007029F3">
        <w:rPr>
          <w:rFonts w:ascii="Cambria" w:hAnsi="Cambria"/>
          <w:lang w:val="en-US"/>
        </w:rPr>
        <w:t xml:space="preserve">HFCs are not ozone depleting substances (ODS) but are greenhouse gases. This implies that some elements of the KA may fall under the policy framework of climate change.  In addition, given that significant climate gains can be achieved from improving energy performance of cooling technologies, the KA is extremely relevant for the energy and energy efficiency portfolio. The new alternatives to existing refrigerants and ODS are toxic and flammable and so the KA also has implications for the policy framework concerning chemical safety and management. </w:t>
      </w:r>
      <w:r w:rsidR="00323CE9" w:rsidRPr="00F41ED9">
        <w:rPr>
          <w:rFonts w:ascii="Cambria" w:hAnsi="Cambria"/>
          <w:lang w:val="en-US"/>
        </w:rPr>
        <w:t>Consequently,</w:t>
      </w:r>
      <w:r w:rsidR="00817D4C" w:rsidRPr="00F41ED9">
        <w:rPr>
          <w:rFonts w:ascii="Cambria" w:hAnsi="Cambria"/>
          <w:lang w:val="en-US"/>
        </w:rPr>
        <w:t xml:space="preserve"> careful consideration must be given to policies and regulations that may emerge to support implementation of the KA</w:t>
      </w:r>
      <w:r w:rsidR="000B530E" w:rsidRPr="00F41ED9">
        <w:rPr>
          <w:rFonts w:ascii="Cambria" w:hAnsi="Cambria"/>
          <w:lang w:val="en-US"/>
        </w:rPr>
        <w:t>,</w:t>
      </w:r>
      <w:r w:rsidR="00817D4C" w:rsidRPr="00F41ED9">
        <w:rPr>
          <w:rFonts w:ascii="Cambria" w:hAnsi="Cambria"/>
          <w:lang w:val="en-US"/>
        </w:rPr>
        <w:t xml:space="preserve"> to ensure overall policy congruence and avoid policy conflicts</w:t>
      </w:r>
      <w:r w:rsidRPr="00F41ED9">
        <w:rPr>
          <w:rFonts w:ascii="Cambria" w:hAnsi="Cambria"/>
          <w:lang w:val="en-US"/>
        </w:rPr>
        <w:t>.</w:t>
      </w:r>
      <w:r w:rsidRPr="007029F3">
        <w:rPr>
          <w:rFonts w:ascii="Cambria" w:hAnsi="Cambria"/>
          <w:lang w:val="en-US"/>
        </w:rPr>
        <w:t xml:space="preserve">  </w:t>
      </w:r>
    </w:p>
    <w:p w:rsidR="005E4C63" w:rsidRDefault="005E4C63" w:rsidP="005E4C63">
      <w:pPr>
        <w:jc w:val="both"/>
        <w:rPr>
          <w:rFonts w:ascii="Cambria" w:hAnsi="Cambria"/>
          <w:lang w:val="en-US"/>
        </w:rPr>
      </w:pPr>
    </w:p>
    <w:p w:rsidR="00D63C5C" w:rsidRDefault="007029F3" w:rsidP="007029F3">
      <w:pPr>
        <w:jc w:val="both"/>
        <w:rPr>
          <w:rFonts w:ascii="Cambria" w:hAnsi="Cambria"/>
          <w:lang w:val="en-US"/>
        </w:rPr>
      </w:pPr>
      <w:r w:rsidRPr="007029F3">
        <w:rPr>
          <w:rFonts w:ascii="Cambria" w:hAnsi="Cambria"/>
          <w:lang w:val="en-US"/>
        </w:rPr>
        <w:t xml:space="preserve">The Government of Saint Lucia has a well-established legal and institutional framework to </w:t>
      </w:r>
      <w:r w:rsidR="0026315C">
        <w:rPr>
          <w:rFonts w:ascii="Cambria" w:hAnsi="Cambria"/>
          <w:lang w:val="en-US"/>
        </w:rPr>
        <w:t>achieve</w:t>
      </w:r>
      <w:r w:rsidRPr="007029F3">
        <w:rPr>
          <w:rFonts w:ascii="Cambria" w:hAnsi="Cambria"/>
          <w:lang w:val="en-US"/>
        </w:rPr>
        <w:t xml:space="preserve"> the Montreal Protocol commitments already ratified. </w:t>
      </w:r>
      <w:r w:rsidR="00D63C5C">
        <w:rPr>
          <w:rFonts w:ascii="Cambria" w:hAnsi="Cambria"/>
          <w:lang w:val="en-US"/>
        </w:rPr>
        <w:t>This includes the implementation</w:t>
      </w:r>
      <w:r w:rsidR="00D63C5C" w:rsidRPr="00D63C5C">
        <w:rPr>
          <w:rFonts w:ascii="Cambria" w:hAnsi="Cambria"/>
          <w:lang w:val="en-US"/>
        </w:rPr>
        <w:t xml:space="preserve"> a</w:t>
      </w:r>
      <w:r w:rsidR="007D3A26">
        <w:rPr>
          <w:rFonts w:ascii="Cambria" w:hAnsi="Cambria"/>
          <w:lang w:val="en-US"/>
        </w:rPr>
        <w:t xml:space="preserve"> </w:t>
      </w:r>
      <w:r w:rsidR="00D63C5C" w:rsidRPr="00D63C5C">
        <w:rPr>
          <w:rFonts w:ascii="Cambria" w:hAnsi="Cambria"/>
          <w:lang w:val="en-US"/>
        </w:rPr>
        <w:t>licensing</w:t>
      </w:r>
      <w:r w:rsidR="00904726">
        <w:rPr>
          <w:rFonts w:ascii="Cambria" w:hAnsi="Cambria"/>
          <w:lang w:val="en-US"/>
        </w:rPr>
        <w:t xml:space="preserve"> and quota system for</w:t>
      </w:r>
      <w:r w:rsidR="00D63C5C" w:rsidRPr="00D63C5C">
        <w:rPr>
          <w:rFonts w:ascii="Cambria" w:hAnsi="Cambria"/>
          <w:lang w:val="en-US"/>
        </w:rPr>
        <w:t xml:space="preserve"> the import and export of controlled substances </w:t>
      </w:r>
      <w:r w:rsidR="007D3A26">
        <w:rPr>
          <w:rFonts w:ascii="Cambria" w:hAnsi="Cambria"/>
          <w:lang w:val="en-US"/>
        </w:rPr>
        <w:t xml:space="preserve">(ODS LQS) </w:t>
      </w:r>
      <w:r w:rsidR="00D63C5C" w:rsidRPr="00D63C5C">
        <w:rPr>
          <w:rFonts w:ascii="Cambria" w:hAnsi="Cambria"/>
          <w:lang w:val="en-US"/>
        </w:rPr>
        <w:t xml:space="preserve">in </w:t>
      </w:r>
      <w:r w:rsidR="00D63C5C">
        <w:rPr>
          <w:rFonts w:ascii="Cambria" w:hAnsi="Cambria"/>
          <w:lang w:val="en-US"/>
        </w:rPr>
        <w:t xml:space="preserve">keeping with Article 4B of the Montreal Protocol.  Saint Lucia also reports annually on its consumption of controlled substances. With the Kigali Amendment, there is need to expand the licensing </w:t>
      </w:r>
      <w:r w:rsidR="00904726">
        <w:rPr>
          <w:rFonts w:ascii="Cambria" w:hAnsi="Cambria"/>
          <w:lang w:val="en-US"/>
        </w:rPr>
        <w:t xml:space="preserve">and quota </w:t>
      </w:r>
      <w:r w:rsidR="00D63C5C">
        <w:rPr>
          <w:rFonts w:ascii="Cambria" w:hAnsi="Cambria"/>
          <w:lang w:val="en-US"/>
        </w:rPr>
        <w:t>system to include</w:t>
      </w:r>
      <w:r w:rsidR="007D3A26">
        <w:rPr>
          <w:rFonts w:ascii="Cambria" w:hAnsi="Cambria"/>
          <w:lang w:val="en-US"/>
        </w:rPr>
        <w:t xml:space="preserve"> </w:t>
      </w:r>
      <w:r w:rsidR="00D63C5C">
        <w:rPr>
          <w:rFonts w:ascii="Cambria" w:hAnsi="Cambria"/>
          <w:lang w:val="en-US"/>
        </w:rPr>
        <w:t>HFCs</w:t>
      </w:r>
      <w:r w:rsidR="007D3A26">
        <w:rPr>
          <w:rFonts w:ascii="Cambria" w:hAnsi="Cambria"/>
          <w:lang w:val="en-US"/>
        </w:rPr>
        <w:t xml:space="preserve"> and HFC alternatives</w:t>
      </w:r>
      <w:r w:rsidR="00904726">
        <w:rPr>
          <w:rFonts w:ascii="Cambria" w:hAnsi="Cambria"/>
          <w:lang w:val="en-US"/>
        </w:rPr>
        <w:t>.</w:t>
      </w:r>
    </w:p>
    <w:p w:rsidR="00D63C5C" w:rsidRDefault="00D63C5C" w:rsidP="007029F3">
      <w:pPr>
        <w:jc w:val="both"/>
        <w:rPr>
          <w:rFonts w:ascii="Cambria" w:hAnsi="Cambria"/>
          <w:lang w:val="en-US"/>
        </w:rPr>
      </w:pPr>
    </w:p>
    <w:p w:rsidR="007029F3" w:rsidRDefault="007029F3" w:rsidP="007029F3">
      <w:pPr>
        <w:jc w:val="both"/>
        <w:rPr>
          <w:rFonts w:ascii="Cambria" w:hAnsi="Cambria"/>
          <w:lang w:val="en-US"/>
        </w:rPr>
      </w:pPr>
    </w:p>
    <w:p w:rsidR="00135A6C" w:rsidRPr="00135A6C" w:rsidRDefault="00135A6C" w:rsidP="00135A6C">
      <w:pPr>
        <w:rPr>
          <w:rFonts w:ascii="Cambria" w:hAnsi="Cambria"/>
          <w:lang w:val="en-US"/>
        </w:rPr>
      </w:pPr>
      <w:r w:rsidRPr="00135A6C">
        <w:rPr>
          <w:rFonts w:ascii="Cambria" w:hAnsi="Cambria"/>
          <w:lang w:val="en-US"/>
        </w:rPr>
        <w:lastRenderedPageBreak/>
        <w:t>The Government of Saint Lucia is currently undertaking a project entitled “Kigali Amendment Enabling Activities Project” which seeks to facilitate the ratification of the Kigali Amendment and related revision of the licensing system, as well as capacity building and demonstration projects and other related activities for adopting alternatives to HFCs.</w:t>
      </w:r>
    </w:p>
    <w:p w:rsidR="00135A6C" w:rsidRPr="00135A6C" w:rsidRDefault="00135A6C" w:rsidP="00135A6C">
      <w:pPr>
        <w:rPr>
          <w:rFonts w:ascii="Cambria" w:hAnsi="Cambria"/>
          <w:lang w:val="en-US"/>
        </w:rPr>
      </w:pPr>
    </w:p>
    <w:p w:rsidR="00135A6C" w:rsidRPr="00135A6C" w:rsidRDefault="00135A6C" w:rsidP="00135A6C">
      <w:pPr>
        <w:rPr>
          <w:rFonts w:ascii="Cambria" w:hAnsi="Cambria"/>
          <w:lang w:val="en-US"/>
        </w:rPr>
      </w:pPr>
      <w:r w:rsidRPr="00135A6C">
        <w:rPr>
          <w:rFonts w:ascii="Cambria" w:hAnsi="Cambria"/>
          <w:lang w:val="en-US"/>
        </w:rPr>
        <w:t>The Project consists of four components described below:</w:t>
      </w:r>
    </w:p>
    <w:p w:rsidR="00135A6C" w:rsidRPr="00135A6C" w:rsidRDefault="00135A6C" w:rsidP="00135A6C">
      <w:pPr>
        <w:rPr>
          <w:rFonts w:ascii="Cambria" w:hAnsi="Cambria"/>
          <w:lang w:val="en-US"/>
        </w:rPr>
      </w:pPr>
    </w:p>
    <w:p w:rsidR="00135A6C" w:rsidRPr="00135A6C" w:rsidRDefault="00135A6C" w:rsidP="00135A6C">
      <w:pPr>
        <w:pStyle w:val="ListParagraph"/>
        <w:numPr>
          <w:ilvl w:val="0"/>
          <w:numId w:val="20"/>
        </w:numPr>
        <w:rPr>
          <w:rFonts w:ascii="Cambria" w:hAnsi="Cambria"/>
          <w:lang w:val="en-US"/>
        </w:rPr>
      </w:pPr>
      <w:r w:rsidRPr="00135A6C">
        <w:rPr>
          <w:rFonts w:ascii="Cambria" w:hAnsi="Cambria"/>
          <w:lang w:val="en-US"/>
        </w:rPr>
        <w:t>Component 1 Facilitate ratification of the Kigali Amendment:  The objective of this component is to attain a broader understanding of the requirements under the Kigali Amendment (KA) and to prepare the necessary instruments in support of ratification.</w:t>
      </w:r>
    </w:p>
    <w:p w:rsidR="00135A6C" w:rsidRPr="00135A6C" w:rsidRDefault="00135A6C" w:rsidP="00135A6C">
      <w:pPr>
        <w:pStyle w:val="ListParagraph"/>
        <w:numPr>
          <w:ilvl w:val="0"/>
          <w:numId w:val="20"/>
        </w:numPr>
        <w:rPr>
          <w:rFonts w:ascii="Cambria" w:hAnsi="Cambria"/>
          <w:lang w:val="en-US"/>
        </w:rPr>
      </w:pPr>
      <w:r w:rsidRPr="00135A6C">
        <w:rPr>
          <w:rFonts w:ascii="Cambria" w:hAnsi="Cambria"/>
          <w:lang w:val="en-US"/>
        </w:rPr>
        <w:t>Component 2 Capacity-building &amp; training for alternatives: This component seeks to   enhance capacity within the RAC servicing sector for the management of alternatives through their life cycle (use, storage, transportation and disposal).</w:t>
      </w:r>
    </w:p>
    <w:p w:rsidR="00135A6C" w:rsidRPr="00135A6C" w:rsidRDefault="00135A6C" w:rsidP="00135A6C">
      <w:pPr>
        <w:pStyle w:val="ListParagraph"/>
        <w:numPr>
          <w:ilvl w:val="0"/>
          <w:numId w:val="20"/>
        </w:numPr>
        <w:rPr>
          <w:rFonts w:ascii="Cambria" w:hAnsi="Cambria"/>
          <w:lang w:val="en-US"/>
        </w:rPr>
      </w:pPr>
      <w:r w:rsidRPr="00135A6C">
        <w:rPr>
          <w:rFonts w:ascii="Cambria" w:hAnsi="Cambria"/>
          <w:lang w:val="en-US"/>
        </w:rPr>
        <w:t>Component 3: Article 4B licensing &amp; Reporting: The objective of this component is to strengthen the existing regulatory import/export licensing system to include HFCs and HFC alternatives.</w:t>
      </w:r>
    </w:p>
    <w:p w:rsidR="00A56BBC" w:rsidRPr="00135A6C" w:rsidRDefault="00135A6C" w:rsidP="00135A6C">
      <w:pPr>
        <w:pStyle w:val="ListParagraph"/>
        <w:numPr>
          <w:ilvl w:val="0"/>
          <w:numId w:val="20"/>
        </w:numPr>
        <w:rPr>
          <w:rFonts w:ascii="Cambria" w:hAnsi="Cambria"/>
          <w:lang w:val="en-US"/>
        </w:rPr>
      </w:pPr>
      <w:r w:rsidRPr="00135A6C">
        <w:rPr>
          <w:rFonts w:ascii="Cambria" w:hAnsi="Cambria"/>
          <w:lang w:val="en-US"/>
        </w:rPr>
        <w:t>Component 4: Development of National Strategies: This component seeks to effect a change in the mindset of the RAC servicing sector towards low GWP and flammable refrigerants and to increase the uptake of their technologies.</w:t>
      </w:r>
    </w:p>
    <w:p w:rsidR="00ED6713" w:rsidRPr="007029F3" w:rsidRDefault="00ED6713" w:rsidP="00ED6713">
      <w:pPr>
        <w:rPr>
          <w:rFonts w:ascii="Cambria" w:hAnsi="Cambria"/>
          <w:b/>
          <w:lang w:val="en-US"/>
        </w:rPr>
      </w:pPr>
    </w:p>
    <w:p w:rsidR="00B34974" w:rsidRPr="001934E7" w:rsidRDefault="005E4C63" w:rsidP="001934E7">
      <w:pPr>
        <w:pStyle w:val="ListParagraph"/>
        <w:numPr>
          <w:ilvl w:val="0"/>
          <w:numId w:val="16"/>
        </w:numPr>
        <w:rPr>
          <w:rFonts w:ascii="Cambria" w:hAnsi="Cambria"/>
          <w:b/>
          <w:lang w:val="en-US"/>
        </w:rPr>
      </w:pPr>
      <w:r w:rsidRPr="001934E7">
        <w:rPr>
          <w:rFonts w:ascii="Cambria" w:hAnsi="Cambria"/>
          <w:b/>
          <w:lang w:val="en-US"/>
        </w:rPr>
        <w:t>O</w:t>
      </w:r>
      <w:r w:rsidR="003D4455">
        <w:rPr>
          <w:rFonts w:ascii="Cambria" w:hAnsi="Cambria"/>
          <w:b/>
          <w:lang w:val="en-US"/>
        </w:rPr>
        <w:t>BJECTIVE</w:t>
      </w:r>
    </w:p>
    <w:p w:rsidR="00834D87" w:rsidRPr="00E33C65" w:rsidRDefault="00B34974" w:rsidP="00E33C65">
      <w:pPr>
        <w:spacing w:before="120"/>
        <w:jc w:val="both"/>
        <w:rPr>
          <w:rFonts w:ascii="Cambria" w:hAnsi="Cambria"/>
          <w:lang w:eastAsia="ko-KR"/>
        </w:rPr>
      </w:pPr>
      <w:r>
        <w:rPr>
          <w:rFonts w:ascii="Cambria" w:hAnsi="Cambria"/>
        </w:rPr>
        <w:t>The objective of this Consultancy</w:t>
      </w:r>
      <w:r w:rsidR="00ED6713" w:rsidRPr="007029F3">
        <w:rPr>
          <w:rFonts w:ascii="Cambria" w:hAnsi="Cambria"/>
        </w:rPr>
        <w:t xml:space="preserve"> is to</w:t>
      </w:r>
      <w:r w:rsidR="00E33C65">
        <w:rPr>
          <w:rFonts w:ascii="Cambria" w:hAnsi="Cambria"/>
          <w:lang w:eastAsia="ko-KR"/>
        </w:rPr>
        <w:t xml:space="preserve"> </w:t>
      </w:r>
      <w:r w:rsidR="007D3A26" w:rsidRPr="007D3A26">
        <w:rPr>
          <w:rFonts w:ascii="Cambria" w:hAnsi="Cambria"/>
          <w:lang w:eastAsia="ko-KR"/>
        </w:rPr>
        <w:t>strengthen the existing regulatory import/export licensing system to include HFCs and HFC alternatives</w:t>
      </w:r>
      <w:r w:rsidR="007D3A26">
        <w:rPr>
          <w:rFonts w:ascii="Cambria" w:hAnsi="Cambria"/>
          <w:lang w:eastAsia="ko-KR"/>
        </w:rPr>
        <w:t>.</w:t>
      </w:r>
      <w:r w:rsidR="007D3A26" w:rsidRPr="007D3A26">
        <w:rPr>
          <w:rFonts w:ascii="Cambria" w:hAnsi="Cambria"/>
          <w:lang w:eastAsia="ko-KR"/>
        </w:rPr>
        <w:t xml:space="preserve"> </w:t>
      </w:r>
      <w:r w:rsidR="00135A6C">
        <w:rPr>
          <w:rFonts w:ascii="Cambria" w:hAnsi="Cambria"/>
          <w:lang w:eastAsia="ko-KR"/>
        </w:rPr>
        <w:t xml:space="preserve">The consultancy responds to component 3 of the Kigali Amendment Enabling Activities Project. </w:t>
      </w:r>
    </w:p>
    <w:p w:rsidR="007D02B4" w:rsidRPr="007029F3" w:rsidRDefault="00834D87" w:rsidP="00E33C65">
      <w:pPr>
        <w:spacing w:before="120"/>
        <w:rPr>
          <w:rFonts w:ascii="Cambria" w:hAnsi="Cambria"/>
        </w:rPr>
      </w:pPr>
      <w:r w:rsidRPr="007029F3">
        <w:rPr>
          <w:rFonts w:ascii="Cambria" w:hAnsi="Cambria"/>
        </w:rPr>
        <w:t xml:space="preserve"> </w:t>
      </w:r>
    </w:p>
    <w:p w:rsidR="005E4C63" w:rsidRPr="001934E7" w:rsidRDefault="00B34974" w:rsidP="001934E7">
      <w:pPr>
        <w:pStyle w:val="ListParagraph"/>
        <w:numPr>
          <w:ilvl w:val="0"/>
          <w:numId w:val="16"/>
        </w:numPr>
        <w:spacing w:before="120"/>
        <w:rPr>
          <w:rFonts w:ascii="Cambria" w:hAnsi="Cambria"/>
          <w:b/>
        </w:rPr>
      </w:pPr>
      <w:r w:rsidRPr="001934E7">
        <w:rPr>
          <w:rFonts w:ascii="Cambria" w:hAnsi="Cambria"/>
          <w:b/>
        </w:rPr>
        <w:t>M</w:t>
      </w:r>
      <w:r w:rsidR="003D4455">
        <w:rPr>
          <w:rFonts w:ascii="Cambria" w:hAnsi="Cambria"/>
          <w:b/>
        </w:rPr>
        <w:t>ETHODOLOGY</w:t>
      </w:r>
    </w:p>
    <w:p w:rsidR="00711CBF" w:rsidRDefault="00711CBF" w:rsidP="00910C16">
      <w:pPr>
        <w:widowControl w:val="0"/>
        <w:autoSpaceDE w:val="0"/>
        <w:autoSpaceDN w:val="0"/>
        <w:adjustRightInd w:val="0"/>
        <w:spacing w:after="240"/>
        <w:jc w:val="both"/>
        <w:rPr>
          <w:rFonts w:ascii="Cambria" w:hAnsi="Cambria"/>
          <w:lang w:val="en-US"/>
        </w:rPr>
      </w:pPr>
    </w:p>
    <w:p w:rsidR="00B34974" w:rsidRPr="00910C16" w:rsidRDefault="00B34974" w:rsidP="00910C16">
      <w:pPr>
        <w:widowControl w:val="0"/>
        <w:autoSpaceDE w:val="0"/>
        <w:autoSpaceDN w:val="0"/>
        <w:adjustRightInd w:val="0"/>
        <w:spacing w:after="240"/>
        <w:jc w:val="both"/>
        <w:rPr>
          <w:rFonts w:ascii="Cambria" w:hAnsi="Cambria"/>
          <w:lang w:val="en-US"/>
        </w:rPr>
      </w:pPr>
      <w:r w:rsidRPr="00B34974">
        <w:rPr>
          <w:rFonts w:ascii="Cambria" w:hAnsi="Cambria"/>
          <w:lang w:val="en-US"/>
        </w:rPr>
        <w:t>Th</w:t>
      </w:r>
      <w:r w:rsidR="00343C0C">
        <w:rPr>
          <w:rFonts w:ascii="Cambria" w:hAnsi="Cambria"/>
          <w:lang w:val="en-US"/>
        </w:rPr>
        <w:t xml:space="preserve">is </w:t>
      </w:r>
      <w:r w:rsidRPr="00B34974">
        <w:rPr>
          <w:rFonts w:ascii="Cambria" w:hAnsi="Cambria"/>
          <w:lang w:val="en-US"/>
        </w:rPr>
        <w:t xml:space="preserve">assignment will involve desk research and literature review, focused surveys, interviews and consultation workshops with key stakeholders. </w:t>
      </w:r>
      <w:r>
        <w:rPr>
          <w:rFonts w:ascii="Cambria" w:hAnsi="Cambria"/>
          <w:lang w:val="en-US"/>
        </w:rPr>
        <w:t>T</w:t>
      </w:r>
      <w:r w:rsidR="00E33C65">
        <w:rPr>
          <w:rFonts w:ascii="Cambria" w:hAnsi="Cambria"/>
          <w:lang w:val="en-US"/>
        </w:rPr>
        <w:t xml:space="preserve">he </w:t>
      </w:r>
      <w:r w:rsidR="003D4455">
        <w:rPr>
          <w:rFonts w:ascii="Cambria" w:hAnsi="Cambria"/>
          <w:lang w:val="en-US"/>
        </w:rPr>
        <w:t>C</w:t>
      </w:r>
      <w:r w:rsidRPr="00B34974">
        <w:rPr>
          <w:rFonts w:ascii="Cambria" w:hAnsi="Cambria"/>
          <w:lang w:val="en-US"/>
        </w:rPr>
        <w:t xml:space="preserve">onsultant will work </w:t>
      </w:r>
      <w:r w:rsidR="00E33C65">
        <w:rPr>
          <w:rFonts w:ascii="Cambria" w:hAnsi="Cambria"/>
          <w:lang w:val="en-US"/>
        </w:rPr>
        <w:t xml:space="preserve">closely </w:t>
      </w:r>
      <w:r w:rsidRPr="00B34974">
        <w:rPr>
          <w:rFonts w:ascii="Cambria" w:hAnsi="Cambria"/>
          <w:lang w:val="en-US"/>
        </w:rPr>
        <w:t>with th</w:t>
      </w:r>
      <w:r w:rsidR="003D4455">
        <w:rPr>
          <w:rFonts w:ascii="Cambria" w:hAnsi="Cambria"/>
          <w:lang w:val="en-US"/>
        </w:rPr>
        <w:t>e</w:t>
      </w:r>
      <w:r w:rsidRPr="00B34974">
        <w:rPr>
          <w:rFonts w:ascii="Cambria" w:hAnsi="Cambria"/>
          <w:lang w:val="en-US"/>
        </w:rPr>
        <w:t xml:space="preserve"> NOU</w:t>
      </w:r>
      <w:r w:rsidR="003D4455">
        <w:rPr>
          <w:rFonts w:ascii="Cambria" w:hAnsi="Cambria"/>
          <w:lang w:val="en-US"/>
        </w:rPr>
        <w:t xml:space="preserve"> and UN-Environment</w:t>
      </w:r>
      <w:r w:rsidR="00E33C65">
        <w:rPr>
          <w:rFonts w:ascii="Cambria" w:hAnsi="Cambria"/>
          <w:lang w:val="en-US"/>
        </w:rPr>
        <w:t xml:space="preserve"> to complete the assignment.</w:t>
      </w:r>
      <w:r w:rsidRPr="00B34974">
        <w:rPr>
          <w:rFonts w:ascii="Cambria" w:hAnsi="Cambria"/>
          <w:lang w:val="en-US"/>
        </w:rPr>
        <w:t xml:space="preserve"> </w:t>
      </w:r>
    </w:p>
    <w:p w:rsidR="00910C16" w:rsidRDefault="00910C16" w:rsidP="005E4C63">
      <w:pPr>
        <w:spacing w:before="120"/>
        <w:rPr>
          <w:rFonts w:ascii="Cambria" w:hAnsi="Cambria"/>
          <w:b/>
        </w:rPr>
      </w:pPr>
    </w:p>
    <w:p w:rsidR="00B34974" w:rsidRPr="001934E7" w:rsidRDefault="00B34974" w:rsidP="001934E7">
      <w:pPr>
        <w:pStyle w:val="ListParagraph"/>
        <w:numPr>
          <w:ilvl w:val="0"/>
          <w:numId w:val="16"/>
        </w:numPr>
        <w:spacing w:before="120"/>
        <w:rPr>
          <w:rFonts w:ascii="Cambria" w:hAnsi="Cambria"/>
          <w:b/>
        </w:rPr>
      </w:pPr>
      <w:r w:rsidRPr="001934E7">
        <w:rPr>
          <w:rFonts w:ascii="Cambria" w:hAnsi="Cambria"/>
          <w:b/>
        </w:rPr>
        <w:t>S</w:t>
      </w:r>
      <w:r w:rsidR="003D4455">
        <w:rPr>
          <w:rFonts w:ascii="Cambria" w:hAnsi="Cambria"/>
          <w:b/>
        </w:rPr>
        <w:t>COPE OF SERVICES REQUIRED</w:t>
      </w:r>
    </w:p>
    <w:p w:rsidR="005E4C63" w:rsidRPr="007029F3" w:rsidRDefault="005E4C63" w:rsidP="005E4C63">
      <w:pPr>
        <w:rPr>
          <w:rFonts w:ascii="Cambria" w:hAnsi="Cambria"/>
        </w:rPr>
      </w:pPr>
    </w:p>
    <w:p w:rsidR="00B41697" w:rsidRPr="007029F3" w:rsidRDefault="005E4C63" w:rsidP="005E4C63">
      <w:pPr>
        <w:rPr>
          <w:rFonts w:ascii="Cambria" w:hAnsi="Cambria"/>
        </w:rPr>
      </w:pPr>
      <w:r w:rsidRPr="007029F3">
        <w:rPr>
          <w:rFonts w:ascii="Cambria" w:hAnsi="Cambria"/>
        </w:rPr>
        <w:t>The Con</w:t>
      </w:r>
      <w:r w:rsidR="00B41697" w:rsidRPr="007029F3">
        <w:rPr>
          <w:rFonts w:ascii="Cambria" w:hAnsi="Cambria"/>
        </w:rPr>
        <w:t>sultant is expected to</w:t>
      </w:r>
      <w:r w:rsidR="003F6EE2">
        <w:rPr>
          <w:rFonts w:ascii="Cambria" w:hAnsi="Cambria"/>
        </w:rPr>
        <w:t>:</w:t>
      </w:r>
    </w:p>
    <w:p w:rsidR="005E4C63" w:rsidRPr="007029F3" w:rsidRDefault="005E4C63" w:rsidP="005E4C63">
      <w:pPr>
        <w:rPr>
          <w:rFonts w:ascii="Cambria" w:hAnsi="Cambria"/>
          <w:b/>
        </w:rPr>
      </w:pPr>
    </w:p>
    <w:p w:rsidR="007D3A26" w:rsidRPr="007D3A26" w:rsidRDefault="007D3A26" w:rsidP="007D3A26">
      <w:pPr>
        <w:pStyle w:val="ListParagraph"/>
        <w:numPr>
          <w:ilvl w:val="0"/>
          <w:numId w:val="10"/>
        </w:numPr>
        <w:spacing w:before="120"/>
        <w:jc w:val="both"/>
        <w:rPr>
          <w:rFonts w:ascii="Cambria" w:hAnsi="Cambria"/>
          <w:vanish/>
        </w:rPr>
      </w:pPr>
    </w:p>
    <w:p w:rsidR="007D3A26" w:rsidRPr="007D3A26" w:rsidRDefault="007D3A26" w:rsidP="007D3A26">
      <w:pPr>
        <w:pStyle w:val="ListParagraph"/>
        <w:numPr>
          <w:ilvl w:val="0"/>
          <w:numId w:val="10"/>
        </w:numPr>
        <w:spacing w:before="120"/>
        <w:jc w:val="both"/>
        <w:rPr>
          <w:rFonts w:ascii="Cambria" w:hAnsi="Cambria"/>
          <w:vanish/>
        </w:rPr>
      </w:pPr>
    </w:p>
    <w:p w:rsidR="007D3A26" w:rsidRPr="007D3A26" w:rsidRDefault="007D3A26" w:rsidP="007D3A26">
      <w:pPr>
        <w:pStyle w:val="ListParagraph"/>
        <w:numPr>
          <w:ilvl w:val="0"/>
          <w:numId w:val="10"/>
        </w:numPr>
        <w:spacing w:before="120"/>
        <w:jc w:val="both"/>
        <w:rPr>
          <w:rFonts w:ascii="Cambria" w:hAnsi="Cambria"/>
          <w:vanish/>
        </w:rPr>
      </w:pPr>
    </w:p>
    <w:p w:rsidR="007D3A26" w:rsidRPr="007D3A26" w:rsidRDefault="007D3A26" w:rsidP="007D3A26">
      <w:pPr>
        <w:pStyle w:val="ListParagraph"/>
        <w:numPr>
          <w:ilvl w:val="0"/>
          <w:numId w:val="10"/>
        </w:numPr>
        <w:spacing w:before="120"/>
        <w:jc w:val="both"/>
        <w:rPr>
          <w:rFonts w:ascii="Cambria" w:hAnsi="Cambria"/>
          <w:vanish/>
        </w:rPr>
      </w:pPr>
    </w:p>
    <w:p w:rsidR="00CB174F" w:rsidRDefault="00445CC2" w:rsidP="00AA76BE">
      <w:pPr>
        <w:pStyle w:val="ListParagraph"/>
        <w:numPr>
          <w:ilvl w:val="1"/>
          <w:numId w:val="10"/>
        </w:numPr>
        <w:spacing w:before="120"/>
        <w:jc w:val="both"/>
        <w:rPr>
          <w:rFonts w:ascii="Cambria" w:hAnsi="Cambria"/>
        </w:rPr>
      </w:pPr>
      <w:r>
        <w:rPr>
          <w:rFonts w:ascii="Cambria" w:hAnsi="Cambria"/>
        </w:rPr>
        <w:t>Participate in an inception meeting with the NOU</w:t>
      </w:r>
    </w:p>
    <w:p w:rsidR="007D3A26" w:rsidRPr="00AA76BE" w:rsidRDefault="007D3A26" w:rsidP="00AA76BE">
      <w:pPr>
        <w:pStyle w:val="ListParagraph"/>
        <w:numPr>
          <w:ilvl w:val="1"/>
          <w:numId w:val="10"/>
        </w:numPr>
        <w:spacing w:before="120"/>
        <w:jc w:val="both"/>
        <w:rPr>
          <w:rFonts w:ascii="Cambria" w:hAnsi="Cambria"/>
        </w:rPr>
      </w:pPr>
      <w:r w:rsidRPr="00AA76BE">
        <w:rPr>
          <w:rFonts w:ascii="Cambria" w:hAnsi="Cambria"/>
        </w:rPr>
        <w:t>Undertake national consultations on the revision of the ODS LQS</w:t>
      </w:r>
    </w:p>
    <w:p w:rsidR="007D3A26" w:rsidRPr="00AA76BE" w:rsidRDefault="007D3A26" w:rsidP="00AA76BE">
      <w:pPr>
        <w:pStyle w:val="ListParagraph"/>
        <w:numPr>
          <w:ilvl w:val="1"/>
          <w:numId w:val="10"/>
        </w:numPr>
        <w:spacing w:before="120"/>
        <w:jc w:val="both"/>
        <w:rPr>
          <w:rFonts w:ascii="Cambria" w:hAnsi="Cambria"/>
        </w:rPr>
      </w:pPr>
      <w:r w:rsidRPr="00AA76BE">
        <w:rPr>
          <w:rFonts w:ascii="Cambria" w:hAnsi="Cambria"/>
        </w:rPr>
        <w:t xml:space="preserve">Undertake a comprehensive review of the existing ODS LQS </w:t>
      </w:r>
      <w:r w:rsidR="00705B60">
        <w:rPr>
          <w:rFonts w:ascii="Cambria" w:hAnsi="Cambria"/>
        </w:rPr>
        <w:t xml:space="preserve">with the view to expanding the control measures to include </w:t>
      </w:r>
      <w:r w:rsidRPr="00AA76BE">
        <w:rPr>
          <w:rFonts w:ascii="Cambria" w:hAnsi="Cambria"/>
        </w:rPr>
        <w:t xml:space="preserve">HFCs and HFC alternatives into the licensing </w:t>
      </w:r>
      <w:r w:rsidR="00705B60">
        <w:rPr>
          <w:rFonts w:ascii="Cambria" w:hAnsi="Cambria"/>
        </w:rPr>
        <w:t xml:space="preserve">and quota </w:t>
      </w:r>
      <w:r w:rsidRPr="00AA76BE">
        <w:rPr>
          <w:rFonts w:ascii="Cambria" w:hAnsi="Cambria"/>
        </w:rPr>
        <w:t xml:space="preserve">system.  The review will also explore </w:t>
      </w:r>
      <w:r w:rsidR="00CB174F">
        <w:rPr>
          <w:rFonts w:ascii="Cambria" w:hAnsi="Cambria"/>
        </w:rPr>
        <w:t>the inclusion of</w:t>
      </w:r>
      <w:r w:rsidR="00CB174F" w:rsidRPr="00AA76BE">
        <w:rPr>
          <w:rFonts w:ascii="Cambria" w:hAnsi="Cambria"/>
        </w:rPr>
        <w:t xml:space="preserve"> </w:t>
      </w:r>
      <w:r w:rsidRPr="00AA76BE">
        <w:rPr>
          <w:rFonts w:ascii="Cambria" w:hAnsi="Cambria"/>
        </w:rPr>
        <w:t>controls on</w:t>
      </w:r>
      <w:r w:rsidR="00705B60">
        <w:rPr>
          <w:rFonts w:ascii="Cambria" w:hAnsi="Cambria"/>
        </w:rPr>
        <w:t xml:space="preserve"> imports of </w:t>
      </w:r>
      <w:r w:rsidRPr="00AA76BE">
        <w:rPr>
          <w:rFonts w:ascii="Cambria" w:hAnsi="Cambria"/>
        </w:rPr>
        <w:t>HFC-based products and equipment</w:t>
      </w:r>
      <w:r w:rsidR="00705B60">
        <w:rPr>
          <w:rFonts w:ascii="Cambria" w:hAnsi="Cambria"/>
        </w:rPr>
        <w:t>,</w:t>
      </w:r>
      <w:r w:rsidRPr="00AA76BE">
        <w:rPr>
          <w:rFonts w:ascii="Cambria" w:hAnsi="Cambria"/>
        </w:rPr>
        <w:t xml:space="preserve"> and supporting policy interventions, such as setting minimum energy efficiency standards for equipment and developing and/or adapting safety standards for the proper </w:t>
      </w:r>
      <w:r w:rsidRPr="00AA76BE">
        <w:rPr>
          <w:rFonts w:ascii="Cambria" w:hAnsi="Cambria"/>
        </w:rPr>
        <w:lastRenderedPageBreak/>
        <w:t>handling and operating with flammable/toxic refrigerants, in line with international standards;</w:t>
      </w:r>
    </w:p>
    <w:p w:rsidR="007D3A26" w:rsidRPr="00AA76BE" w:rsidRDefault="007D3A26" w:rsidP="00AA76BE">
      <w:pPr>
        <w:pStyle w:val="ListParagraph"/>
        <w:numPr>
          <w:ilvl w:val="1"/>
          <w:numId w:val="10"/>
        </w:numPr>
        <w:spacing w:before="120"/>
        <w:jc w:val="both"/>
        <w:rPr>
          <w:rFonts w:ascii="Cambria" w:hAnsi="Cambria"/>
        </w:rPr>
      </w:pPr>
      <w:r w:rsidRPr="00AA76BE">
        <w:rPr>
          <w:rFonts w:ascii="Cambria" w:hAnsi="Cambria"/>
        </w:rPr>
        <w:t>Provide assistance to the Customs Department in developing country-specific national HS Codes for HFCs (mainly to differentiate individual HFCs and key HFC blends) and HFC alternatives, in order to ensure proper monitoring and recording of imports/exports of individual HFCs</w:t>
      </w:r>
      <w:r w:rsidR="00705B60">
        <w:rPr>
          <w:rFonts w:ascii="Cambria" w:hAnsi="Cambria"/>
        </w:rPr>
        <w:t xml:space="preserve"> and </w:t>
      </w:r>
      <w:r w:rsidRPr="00AA76BE">
        <w:rPr>
          <w:rFonts w:ascii="Cambria" w:hAnsi="Cambria"/>
        </w:rPr>
        <w:t xml:space="preserve">alternatives substances.  </w:t>
      </w:r>
    </w:p>
    <w:p w:rsidR="00135A6C" w:rsidRPr="00135A6C" w:rsidRDefault="00135A6C" w:rsidP="00135A6C">
      <w:pPr>
        <w:pStyle w:val="ListParagraph"/>
        <w:numPr>
          <w:ilvl w:val="1"/>
          <w:numId w:val="10"/>
        </w:numPr>
        <w:rPr>
          <w:rFonts w:ascii="Cambria" w:hAnsi="Cambria"/>
        </w:rPr>
      </w:pPr>
      <w:r w:rsidRPr="00135A6C">
        <w:rPr>
          <w:rFonts w:ascii="Cambria" w:hAnsi="Cambria"/>
        </w:rPr>
        <w:t xml:space="preserve">Work closely with the consultants undertaking components 1, </w:t>
      </w:r>
      <w:r>
        <w:rPr>
          <w:rFonts w:ascii="Cambria" w:hAnsi="Cambria"/>
        </w:rPr>
        <w:t>2</w:t>
      </w:r>
      <w:r w:rsidRPr="00135A6C">
        <w:rPr>
          <w:rFonts w:ascii="Cambria" w:hAnsi="Cambria"/>
        </w:rPr>
        <w:t xml:space="preserve"> and 4, as applicable, to facilitate synergies and maximise efficiencies.</w:t>
      </w:r>
    </w:p>
    <w:p w:rsidR="00CB174F" w:rsidRPr="00135A6C" w:rsidRDefault="00CB174F" w:rsidP="00135A6C">
      <w:pPr>
        <w:spacing w:before="120"/>
        <w:jc w:val="both"/>
        <w:rPr>
          <w:rFonts w:ascii="Cambria" w:hAnsi="Cambria"/>
        </w:rPr>
      </w:pPr>
    </w:p>
    <w:p w:rsidR="007D3A26" w:rsidRPr="00AA76BE" w:rsidRDefault="007D3A26" w:rsidP="00AA76BE">
      <w:pPr>
        <w:pStyle w:val="ListParagraph"/>
        <w:spacing w:before="120"/>
        <w:ind w:left="792"/>
        <w:jc w:val="both"/>
        <w:rPr>
          <w:rFonts w:ascii="Cambria" w:hAnsi="Cambria"/>
        </w:rPr>
      </w:pPr>
    </w:p>
    <w:p w:rsidR="00AE37FE" w:rsidRPr="00B64F56" w:rsidRDefault="00B64F56" w:rsidP="00B64F56">
      <w:pPr>
        <w:pStyle w:val="ListParagraph"/>
        <w:numPr>
          <w:ilvl w:val="0"/>
          <w:numId w:val="10"/>
        </w:numPr>
        <w:spacing w:before="120"/>
        <w:rPr>
          <w:rFonts w:ascii="Cambria" w:hAnsi="Cambria"/>
          <w:b/>
        </w:rPr>
      </w:pPr>
      <w:r>
        <w:rPr>
          <w:rFonts w:ascii="Cambria" w:hAnsi="Cambria"/>
          <w:b/>
        </w:rPr>
        <w:t>D</w:t>
      </w:r>
      <w:r w:rsidR="003F6EE2">
        <w:rPr>
          <w:rFonts w:ascii="Cambria" w:hAnsi="Cambria"/>
          <w:b/>
        </w:rPr>
        <w:t>ELIVERABLE</w:t>
      </w:r>
      <w:r w:rsidR="00E33C65">
        <w:rPr>
          <w:rFonts w:ascii="Cambria" w:hAnsi="Cambria"/>
          <w:b/>
        </w:rPr>
        <w:t>S</w:t>
      </w:r>
    </w:p>
    <w:p w:rsidR="003F6EE2" w:rsidRDefault="00B64F56" w:rsidP="003F6EE2">
      <w:pPr>
        <w:spacing w:before="120" w:after="120"/>
        <w:rPr>
          <w:rFonts w:ascii="Cambria" w:hAnsi="Cambria"/>
          <w:lang w:val="en-US"/>
        </w:rPr>
      </w:pPr>
      <w:r>
        <w:rPr>
          <w:rFonts w:ascii="Cambria" w:hAnsi="Cambria"/>
          <w:lang w:val="en-US"/>
        </w:rPr>
        <w:t xml:space="preserve">The </w:t>
      </w:r>
      <w:r w:rsidR="003F6EE2">
        <w:rPr>
          <w:rFonts w:ascii="Cambria" w:hAnsi="Cambria"/>
          <w:lang w:val="en-US"/>
        </w:rPr>
        <w:t>C</w:t>
      </w:r>
      <w:r>
        <w:rPr>
          <w:rFonts w:ascii="Cambria" w:hAnsi="Cambria"/>
          <w:lang w:val="en-US"/>
        </w:rPr>
        <w:t>onsultant/s is expected to deliver the following output</w:t>
      </w:r>
      <w:r w:rsidR="003F6EE2">
        <w:rPr>
          <w:rFonts w:ascii="Cambria" w:hAnsi="Cambria"/>
          <w:lang w:val="en-US"/>
        </w:rPr>
        <w:t>s:</w:t>
      </w:r>
      <w:r>
        <w:rPr>
          <w:rFonts w:ascii="Cambria" w:hAnsi="Cambria"/>
          <w:lang w:val="en-US"/>
        </w:rPr>
        <w:t xml:space="preserve"> </w:t>
      </w:r>
    </w:p>
    <w:p w:rsidR="00AA76BE" w:rsidRPr="00AA76BE" w:rsidRDefault="00AA76BE" w:rsidP="00AA76BE">
      <w:pPr>
        <w:pStyle w:val="ListParagraph"/>
        <w:numPr>
          <w:ilvl w:val="0"/>
          <w:numId w:val="19"/>
        </w:numPr>
        <w:spacing w:before="120" w:after="120"/>
        <w:rPr>
          <w:rFonts w:ascii="Cambria" w:hAnsi="Cambria"/>
          <w:vanish/>
          <w:lang w:val="en-US"/>
        </w:rPr>
      </w:pPr>
    </w:p>
    <w:p w:rsidR="00AA76BE" w:rsidRPr="00AA76BE" w:rsidRDefault="00AA76BE" w:rsidP="00AA76BE">
      <w:pPr>
        <w:pStyle w:val="ListParagraph"/>
        <w:numPr>
          <w:ilvl w:val="0"/>
          <w:numId w:val="19"/>
        </w:numPr>
        <w:spacing w:before="120" w:after="120"/>
        <w:rPr>
          <w:rFonts w:ascii="Cambria" w:hAnsi="Cambria"/>
          <w:vanish/>
          <w:lang w:val="en-US"/>
        </w:rPr>
      </w:pPr>
    </w:p>
    <w:p w:rsidR="00AA76BE" w:rsidRPr="00AA76BE" w:rsidRDefault="00AA76BE" w:rsidP="00AA76BE">
      <w:pPr>
        <w:pStyle w:val="ListParagraph"/>
        <w:numPr>
          <w:ilvl w:val="0"/>
          <w:numId w:val="19"/>
        </w:numPr>
        <w:spacing w:before="120" w:after="120"/>
        <w:rPr>
          <w:rFonts w:ascii="Cambria" w:hAnsi="Cambria"/>
          <w:vanish/>
          <w:lang w:val="en-US"/>
        </w:rPr>
      </w:pPr>
    </w:p>
    <w:p w:rsidR="00AA76BE" w:rsidRPr="00AA76BE" w:rsidRDefault="00AA76BE" w:rsidP="00AA76BE">
      <w:pPr>
        <w:pStyle w:val="ListParagraph"/>
        <w:numPr>
          <w:ilvl w:val="0"/>
          <w:numId w:val="19"/>
        </w:numPr>
        <w:spacing w:before="120" w:after="120"/>
        <w:rPr>
          <w:rFonts w:ascii="Cambria" w:hAnsi="Cambria"/>
          <w:vanish/>
          <w:lang w:val="en-US"/>
        </w:rPr>
      </w:pPr>
    </w:p>
    <w:p w:rsidR="00AA76BE" w:rsidRPr="00AA76BE" w:rsidRDefault="00AA76BE" w:rsidP="00AA76BE">
      <w:pPr>
        <w:pStyle w:val="ListParagraph"/>
        <w:numPr>
          <w:ilvl w:val="0"/>
          <w:numId w:val="19"/>
        </w:numPr>
        <w:spacing w:before="120" w:after="120"/>
        <w:rPr>
          <w:rFonts w:ascii="Cambria" w:hAnsi="Cambria"/>
          <w:vanish/>
          <w:lang w:val="en-US"/>
        </w:rPr>
      </w:pPr>
    </w:p>
    <w:p w:rsidR="00445CC2" w:rsidRDefault="00445CC2" w:rsidP="00AA76BE">
      <w:pPr>
        <w:pStyle w:val="ListParagraph"/>
        <w:numPr>
          <w:ilvl w:val="1"/>
          <w:numId w:val="19"/>
        </w:numPr>
        <w:spacing w:before="120" w:after="120"/>
        <w:rPr>
          <w:rFonts w:ascii="Cambria" w:hAnsi="Cambria"/>
          <w:lang w:val="en-US"/>
        </w:rPr>
      </w:pPr>
      <w:r>
        <w:rPr>
          <w:rFonts w:ascii="Cambria" w:hAnsi="Cambria"/>
          <w:lang w:val="en-US"/>
        </w:rPr>
        <w:t>National Consultations on review of the ODS LQS</w:t>
      </w:r>
    </w:p>
    <w:p w:rsidR="007D3A26" w:rsidRPr="007D3A26" w:rsidRDefault="007D3A26" w:rsidP="00AA76BE">
      <w:pPr>
        <w:pStyle w:val="ListParagraph"/>
        <w:numPr>
          <w:ilvl w:val="1"/>
          <w:numId w:val="19"/>
        </w:numPr>
        <w:spacing w:before="120" w:after="120"/>
        <w:rPr>
          <w:rFonts w:ascii="Cambria" w:hAnsi="Cambria"/>
          <w:lang w:val="en-US"/>
        </w:rPr>
      </w:pPr>
      <w:r w:rsidRPr="007D3A26">
        <w:rPr>
          <w:rFonts w:ascii="Cambria" w:hAnsi="Cambria"/>
          <w:lang w:val="en-US"/>
        </w:rPr>
        <w:t>An updated import/export licensing system to meet all requirements of the Article 4B, as well as to facilitate the country compliance with the HFCs phase-down schedule.</w:t>
      </w:r>
    </w:p>
    <w:p w:rsidR="00AA76BE" w:rsidRDefault="00AA76BE" w:rsidP="00AA76BE">
      <w:pPr>
        <w:pStyle w:val="ListParagraph"/>
        <w:numPr>
          <w:ilvl w:val="1"/>
          <w:numId w:val="19"/>
        </w:numPr>
        <w:spacing w:before="120" w:after="120"/>
        <w:rPr>
          <w:rFonts w:ascii="Cambria" w:hAnsi="Cambria"/>
          <w:lang w:val="en-US"/>
        </w:rPr>
      </w:pPr>
      <w:r>
        <w:rPr>
          <w:rFonts w:ascii="Cambria" w:hAnsi="Cambria"/>
          <w:lang w:val="en-US"/>
        </w:rPr>
        <w:t xml:space="preserve">A report containing a list of </w:t>
      </w:r>
      <w:r w:rsidR="007D3A26" w:rsidRPr="007D3A26">
        <w:rPr>
          <w:rFonts w:ascii="Cambria" w:hAnsi="Cambria"/>
          <w:lang w:val="en-US"/>
        </w:rPr>
        <w:t>country-specific HS Codes for HFCs and HFC alternatives, in order to improve data capture and data reporting</w:t>
      </w:r>
    </w:p>
    <w:p w:rsidR="007A06B1" w:rsidRDefault="007D3A26" w:rsidP="00AA76BE">
      <w:pPr>
        <w:pStyle w:val="ListParagraph"/>
        <w:numPr>
          <w:ilvl w:val="1"/>
          <w:numId w:val="19"/>
        </w:numPr>
        <w:spacing w:before="120" w:after="120"/>
        <w:rPr>
          <w:rFonts w:ascii="Cambria" w:hAnsi="Cambria"/>
          <w:lang w:val="en-US"/>
        </w:rPr>
      </w:pPr>
      <w:r w:rsidRPr="00AA76BE">
        <w:rPr>
          <w:rFonts w:ascii="Cambria" w:hAnsi="Cambria"/>
          <w:lang w:val="en-US"/>
        </w:rPr>
        <w:t>Recommendations for policy interventions to support the Article 4B licensing and reporting system</w:t>
      </w:r>
    </w:p>
    <w:p w:rsidR="00AA76BE" w:rsidRPr="00AA76BE" w:rsidRDefault="00AA76BE" w:rsidP="00AA76BE">
      <w:pPr>
        <w:pStyle w:val="ListParagraph"/>
        <w:spacing w:before="120" w:after="120"/>
        <w:ind w:left="792"/>
        <w:rPr>
          <w:rFonts w:ascii="Cambria" w:hAnsi="Cambria"/>
          <w:lang w:val="en-US"/>
        </w:rPr>
      </w:pPr>
    </w:p>
    <w:p w:rsidR="00155DCB" w:rsidRPr="00574F1C" w:rsidRDefault="007E0218" w:rsidP="00B64F56">
      <w:pPr>
        <w:pStyle w:val="ListParagraph"/>
        <w:numPr>
          <w:ilvl w:val="0"/>
          <w:numId w:val="10"/>
        </w:numPr>
        <w:spacing w:before="240"/>
        <w:rPr>
          <w:rFonts w:ascii="Cambria" w:hAnsi="Cambria"/>
          <w:b/>
          <w:lang w:val="en-US"/>
        </w:rPr>
      </w:pPr>
      <w:r>
        <w:rPr>
          <w:rFonts w:ascii="Cambria" w:hAnsi="Cambria"/>
          <w:b/>
          <w:lang w:val="en-US"/>
        </w:rPr>
        <w:t>QUALIFICATIONS</w:t>
      </w:r>
      <w:r w:rsidR="003F6EE2" w:rsidRPr="00574F1C">
        <w:rPr>
          <w:rFonts w:ascii="Cambria" w:hAnsi="Cambria"/>
          <w:b/>
          <w:lang w:val="en-US"/>
        </w:rPr>
        <w:t xml:space="preserve"> AND EXPERIENCE</w:t>
      </w:r>
      <w:r w:rsidR="00155DCB" w:rsidRPr="00574F1C">
        <w:rPr>
          <w:rFonts w:ascii="Cambria" w:hAnsi="Cambria"/>
          <w:b/>
          <w:lang w:val="en-US"/>
        </w:rPr>
        <w:t xml:space="preserve"> </w:t>
      </w:r>
    </w:p>
    <w:p w:rsidR="00B64F56" w:rsidRPr="00574F1C" w:rsidRDefault="00B64F56" w:rsidP="00B64F56">
      <w:pPr>
        <w:widowControl w:val="0"/>
        <w:autoSpaceDE w:val="0"/>
        <w:autoSpaceDN w:val="0"/>
        <w:adjustRightInd w:val="0"/>
        <w:rPr>
          <w:rFonts w:ascii="Cambria" w:hAnsi="Cambria"/>
          <w:lang w:val="en-US"/>
        </w:rPr>
      </w:pPr>
    </w:p>
    <w:p w:rsidR="00B64F56" w:rsidRPr="00574F1C" w:rsidRDefault="00B64F56" w:rsidP="00B64F56">
      <w:pPr>
        <w:widowControl w:val="0"/>
        <w:autoSpaceDE w:val="0"/>
        <w:autoSpaceDN w:val="0"/>
        <w:adjustRightInd w:val="0"/>
        <w:rPr>
          <w:rFonts w:ascii="Cambria" w:hAnsi="Cambria"/>
          <w:lang w:val="en-US"/>
        </w:rPr>
      </w:pPr>
      <w:r w:rsidRPr="00574F1C">
        <w:rPr>
          <w:rFonts w:ascii="Cambria" w:hAnsi="Cambria"/>
          <w:lang w:val="en-US"/>
        </w:rPr>
        <w:t>The consultant or consulting team should meet the following requirements for education and experience:</w:t>
      </w:r>
    </w:p>
    <w:p w:rsidR="00B64F56" w:rsidRPr="00574F1C" w:rsidRDefault="00B64F56" w:rsidP="00B64F56">
      <w:pPr>
        <w:widowControl w:val="0"/>
        <w:autoSpaceDE w:val="0"/>
        <w:autoSpaceDN w:val="0"/>
        <w:adjustRightInd w:val="0"/>
        <w:rPr>
          <w:rFonts w:ascii="Cambria" w:hAnsi="Cambria"/>
          <w:lang w:val="en-US"/>
        </w:rPr>
      </w:pPr>
    </w:p>
    <w:p w:rsidR="00155DCB" w:rsidRPr="00574F1C" w:rsidRDefault="00574F1C" w:rsidP="00155DCB">
      <w:pPr>
        <w:pStyle w:val="ListParagraph"/>
        <w:widowControl w:val="0"/>
        <w:numPr>
          <w:ilvl w:val="0"/>
          <w:numId w:val="7"/>
        </w:numPr>
        <w:autoSpaceDE w:val="0"/>
        <w:autoSpaceDN w:val="0"/>
        <w:adjustRightInd w:val="0"/>
        <w:contextualSpacing w:val="0"/>
        <w:rPr>
          <w:rFonts w:ascii="Cambria" w:hAnsi="Cambria"/>
          <w:lang w:val="en-US"/>
        </w:rPr>
      </w:pPr>
      <w:r w:rsidRPr="00574F1C">
        <w:rPr>
          <w:rFonts w:ascii="Cambria" w:hAnsi="Cambria"/>
          <w:lang w:val="en-US"/>
        </w:rPr>
        <w:t>A</w:t>
      </w:r>
      <w:r w:rsidR="00445CC2">
        <w:rPr>
          <w:rFonts w:ascii="Cambria" w:hAnsi="Cambria"/>
          <w:lang w:val="en-US"/>
        </w:rPr>
        <w:t>n advanced</w:t>
      </w:r>
      <w:r w:rsidRPr="00574F1C">
        <w:rPr>
          <w:rFonts w:ascii="Cambria" w:hAnsi="Cambria"/>
          <w:lang w:val="en-US"/>
        </w:rPr>
        <w:t xml:space="preserve"> university</w:t>
      </w:r>
      <w:r w:rsidR="00155DCB" w:rsidRPr="00574F1C">
        <w:rPr>
          <w:rFonts w:ascii="Cambria" w:hAnsi="Cambria"/>
          <w:lang w:val="en-US"/>
        </w:rPr>
        <w:t xml:space="preserve"> degree in</w:t>
      </w:r>
      <w:r w:rsidR="007D09A8" w:rsidRPr="00574F1C">
        <w:rPr>
          <w:rFonts w:ascii="Cambria" w:hAnsi="Cambria"/>
          <w:lang w:val="en-US"/>
        </w:rPr>
        <w:t xml:space="preserve"> </w:t>
      </w:r>
      <w:r w:rsidR="00343C0C" w:rsidRPr="00574F1C">
        <w:rPr>
          <w:rFonts w:ascii="Cambria" w:hAnsi="Cambria"/>
          <w:lang w:val="en-US"/>
        </w:rPr>
        <w:t xml:space="preserve">natural sciences, environmental </w:t>
      </w:r>
      <w:r w:rsidRPr="00574F1C">
        <w:rPr>
          <w:rFonts w:ascii="Cambria" w:hAnsi="Cambria"/>
          <w:lang w:val="en-US"/>
        </w:rPr>
        <w:t>science, or</w:t>
      </w:r>
      <w:r w:rsidR="00A45443" w:rsidRPr="00574F1C">
        <w:rPr>
          <w:rFonts w:ascii="Cambria" w:hAnsi="Cambria"/>
          <w:lang w:val="en-US"/>
        </w:rPr>
        <w:t xml:space="preserve"> any other related field</w:t>
      </w:r>
      <w:r w:rsidR="006A5834" w:rsidRPr="00574F1C">
        <w:rPr>
          <w:rFonts w:ascii="Cambria" w:hAnsi="Cambria"/>
          <w:lang w:val="en-US"/>
        </w:rPr>
        <w:t>s</w:t>
      </w:r>
      <w:r w:rsidR="00A45443" w:rsidRPr="00574F1C">
        <w:rPr>
          <w:rFonts w:ascii="Cambria" w:hAnsi="Cambria"/>
          <w:lang w:val="en-US"/>
        </w:rPr>
        <w:t>;</w:t>
      </w:r>
    </w:p>
    <w:p w:rsidR="00155DCB" w:rsidRPr="00574F1C" w:rsidRDefault="00155DCB" w:rsidP="00155DCB">
      <w:pPr>
        <w:pStyle w:val="ListParagraph"/>
        <w:widowControl w:val="0"/>
        <w:numPr>
          <w:ilvl w:val="0"/>
          <w:numId w:val="7"/>
        </w:numPr>
        <w:autoSpaceDE w:val="0"/>
        <w:autoSpaceDN w:val="0"/>
        <w:adjustRightInd w:val="0"/>
        <w:contextualSpacing w:val="0"/>
        <w:rPr>
          <w:rFonts w:ascii="Cambria" w:hAnsi="Cambria"/>
          <w:lang w:val="en-US"/>
        </w:rPr>
      </w:pPr>
      <w:r w:rsidRPr="00574F1C">
        <w:rPr>
          <w:rFonts w:ascii="Cambria" w:hAnsi="Cambria"/>
          <w:lang w:val="en-US"/>
        </w:rPr>
        <w:t xml:space="preserve">A minimum of 5 </w:t>
      </w:r>
      <w:r w:rsidR="00574F1C" w:rsidRPr="00574F1C">
        <w:rPr>
          <w:rFonts w:ascii="Cambria" w:hAnsi="Cambria"/>
          <w:lang w:val="en-US"/>
        </w:rPr>
        <w:t>years</w:t>
      </w:r>
      <w:r w:rsidR="003E4D08">
        <w:rPr>
          <w:rFonts w:ascii="Cambria" w:hAnsi="Cambria"/>
          <w:lang w:val="en-US"/>
        </w:rPr>
        <w:t>’</w:t>
      </w:r>
      <w:r w:rsidR="00574F1C" w:rsidRPr="00574F1C">
        <w:rPr>
          <w:rFonts w:ascii="Cambria" w:hAnsi="Cambria"/>
          <w:lang w:val="en-US"/>
        </w:rPr>
        <w:t xml:space="preserve"> experience</w:t>
      </w:r>
      <w:r w:rsidRPr="00574F1C">
        <w:rPr>
          <w:rFonts w:ascii="Cambria" w:hAnsi="Cambria"/>
          <w:lang w:val="en-US"/>
        </w:rPr>
        <w:t xml:space="preserve"> </w:t>
      </w:r>
      <w:r w:rsidR="006F7BA2" w:rsidRPr="00574F1C">
        <w:rPr>
          <w:rFonts w:ascii="Cambria" w:hAnsi="Cambria"/>
          <w:lang w:val="en-US"/>
        </w:rPr>
        <w:t>in</w:t>
      </w:r>
      <w:r w:rsidR="002C0461" w:rsidRPr="00574F1C">
        <w:rPr>
          <w:rFonts w:ascii="Cambria" w:hAnsi="Cambria"/>
          <w:lang w:val="en-US"/>
        </w:rPr>
        <w:t xml:space="preserve"> </w:t>
      </w:r>
      <w:r w:rsidR="00343C0C" w:rsidRPr="00574F1C">
        <w:rPr>
          <w:rFonts w:ascii="Cambria" w:hAnsi="Cambria"/>
          <w:lang w:val="en-US"/>
        </w:rPr>
        <w:t>research and policy preparation</w:t>
      </w:r>
      <w:r w:rsidRPr="00574F1C">
        <w:rPr>
          <w:rFonts w:ascii="Cambria" w:hAnsi="Cambria"/>
          <w:lang w:val="en-US"/>
        </w:rPr>
        <w:t xml:space="preserve">; </w:t>
      </w:r>
    </w:p>
    <w:p w:rsidR="006F7BA2" w:rsidRDefault="00155DCB" w:rsidP="006F7BA2">
      <w:pPr>
        <w:pStyle w:val="ListParagraph"/>
        <w:widowControl w:val="0"/>
        <w:numPr>
          <w:ilvl w:val="0"/>
          <w:numId w:val="7"/>
        </w:numPr>
        <w:autoSpaceDE w:val="0"/>
        <w:autoSpaceDN w:val="0"/>
        <w:adjustRightInd w:val="0"/>
        <w:contextualSpacing w:val="0"/>
        <w:rPr>
          <w:rFonts w:ascii="Cambria" w:hAnsi="Cambria"/>
          <w:lang w:val="en-US"/>
        </w:rPr>
      </w:pPr>
      <w:r w:rsidRPr="00574F1C">
        <w:rPr>
          <w:rFonts w:ascii="Cambria" w:hAnsi="Cambria"/>
          <w:lang w:val="en-US"/>
        </w:rPr>
        <w:t>Good understanding and knowledge of</w:t>
      </w:r>
      <w:r w:rsidR="001670E5" w:rsidRPr="00574F1C">
        <w:rPr>
          <w:rFonts w:ascii="Cambria" w:hAnsi="Cambria"/>
          <w:lang w:val="en-US"/>
        </w:rPr>
        <w:t xml:space="preserve"> Montreal Protocol and climate change </w:t>
      </w:r>
      <w:r w:rsidR="00E87E4A" w:rsidRPr="00574F1C">
        <w:rPr>
          <w:rFonts w:ascii="Cambria" w:hAnsi="Cambria"/>
          <w:lang w:val="en-US"/>
        </w:rPr>
        <w:t>issues; environmental</w:t>
      </w:r>
      <w:r w:rsidR="001670E5" w:rsidRPr="00574F1C">
        <w:rPr>
          <w:rFonts w:ascii="Cambria" w:hAnsi="Cambria"/>
          <w:lang w:val="en-US"/>
        </w:rPr>
        <w:t xml:space="preserve"> sustainability; </w:t>
      </w:r>
      <w:r w:rsidR="006F7BA2" w:rsidRPr="00574F1C">
        <w:rPr>
          <w:rFonts w:ascii="Cambria" w:hAnsi="Cambria"/>
          <w:lang w:val="en-US"/>
        </w:rPr>
        <w:t>sustainable industrial and economic development</w:t>
      </w:r>
      <w:r w:rsidR="00CB174F">
        <w:rPr>
          <w:rFonts w:ascii="Cambria" w:hAnsi="Cambria"/>
          <w:lang w:val="en-US"/>
        </w:rPr>
        <w:t>;</w:t>
      </w:r>
    </w:p>
    <w:p w:rsidR="007E0218" w:rsidRPr="00574F1C" w:rsidRDefault="007E0218" w:rsidP="006F7BA2">
      <w:pPr>
        <w:pStyle w:val="ListParagraph"/>
        <w:widowControl w:val="0"/>
        <w:numPr>
          <w:ilvl w:val="0"/>
          <w:numId w:val="7"/>
        </w:numPr>
        <w:autoSpaceDE w:val="0"/>
        <w:autoSpaceDN w:val="0"/>
        <w:adjustRightInd w:val="0"/>
        <w:contextualSpacing w:val="0"/>
        <w:rPr>
          <w:rFonts w:ascii="Cambria" w:hAnsi="Cambria"/>
          <w:lang w:val="en-US"/>
        </w:rPr>
      </w:pPr>
      <w:r>
        <w:rPr>
          <w:rFonts w:ascii="Cambria" w:hAnsi="Cambria"/>
          <w:lang w:val="en-US"/>
        </w:rPr>
        <w:t>Completion of previous work specific/related to this consultancy is an asset/is desirable</w:t>
      </w:r>
    </w:p>
    <w:p w:rsidR="00155DCB" w:rsidRPr="00574F1C" w:rsidRDefault="00155DCB" w:rsidP="00155DCB">
      <w:pPr>
        <w:pStyle w:val="ListParagraph"/>
        <w:widowControl w:val="0"/>
        <w:numPr>
          <w:ilvl w:val="0"/>
          <w:numId w:val="7"/>
        </w:numPr>
        <w:autoSpaceDE w:val="0"/>
        <w:autoSpaceDN w:val="0"/>
        <w:adjustRightInd w:val="0"/>
        <w:contextualSpacing w:val="0"/>
        <w:rPr>
          <w:rFonts w:ascii="Cambria" w:hAnsi="Cambria"/>
          <w:lang w:val="en-US"/>
        </w:rPr>
      </w:pPr>
      <w:r w:rsidRPr="00574F1C">
        <w:rPr>
          <w:rFonts w:ascii="Cambria" w:hAnsi="Cambria"/>
          <w:lang w:val="en-US"/>
        </w:rPr>
        <w:t xml:space="preserve">Excellent research and </w:t>
      </w:r>
      <w:r w:rsidR="00445CC2">
        <w:rPr>
          <w:rFonts w:ascii="Cambria" w:hAnsi="Cambria"/>
          <w:lang w:val="en-US"/>
        </w:rPr>
        <w:t>report preparation skills</w:t>
      </w:r>
      <w:r w:rsidRPr="00574F1C">
        <w:rPr>
          <w:rFonts w:ascii="Cambria" w:hAnsi="Cambria"/>
          <w:lang w:val="en-US"/>
        </w:rPr>
        <w:t xml:space="preserve"> </w:t>
      </w:r>
    </w:p>
    <w:p w:rsidR="00155DCB" w:rsidRPr="00574F1C" w:rsidRDefault="00155DCB" w:rsidP="00155DCB">
      <w:pPr>
        <w:pStyle w:val="ListParagraph"/>
        <w:widowControl w:val="0"/>
        <w:numPr>
          <w:ilvl w:val="0"/>
          <w:numId w:val="7"/>
        </w:numPr>
        <w:autoSpaceDE w:val="0"/>
        <w:autoSpaceDN w:val="0"/>
        <w:adjustRightInd w:val="0"/>
        <w:contextualSpacing w:val="0"/>
        <w:rPr>
          <w:rFonts w:ascii="Cambria" w:hAnsi="Cambria"/>
          <w:lang w:val="en-US"/>
        </w:rPr>
      </w:pPr>
      <w:r w:rsidRPr="00574F1C">
        <w:rPr>
          <w:rFonts w:ascii="Cambria" w:hAnsi="Cambria"/>
          <w:lang w:val="en-US"/>
        </w:rPr>
        <w:t>Proven ability to write and present complex policy-related issues for a non-technical audience;</w:t>
      </w:r>
    </w:p>
    <w:p w:rsidR="00D910ED" w:rsidRPr="00574F1C" w:rsidRDefault="00343C0C" w:rsidP="00155DCB">
      <w:pPr>
        <w:pStyle w:val="ListParagraph"/>
        <w:widowControl w:val="0"/>
        <w:numPr>
          <w:ilvl w:val="0"/>
          <w:numId w:val="7"/>
        </w:numPr>
        <w:autoSpaceDE w:val="0"/>
        <w:autoSpaceDN w:val="0"/>
        <w:adjustRightInd w:val="0"/>
        <w:contextualSpacing w:val="0"/>
        <w:rPr>
          <w:rFonts w:ascii="Cambria" w:hAnsi="Cambria"/>
          <w:lang w:val="en-US"/>
        </w:rPr>
      </w:pPr>
      <w:r w:rsidRPr="00574F1C">
        <w:rPr>
          <w:rFonts w:ascii="Cambria" w:hAnsi="Cambria"/>
          <w:lang w:val="en-US"/>
        </w:rPr>
        <w:t xml:space="preserve">Excellent command of the </w:t>
      </w:r>
      <w:r w:rsidR="00574F1C" w:rsidRPr="00574F1C">
        <w:rPr>
          <w:rFonts w:ascii="Cambria" w:hAnsi="Cambria"/>
          <w:lang w:val="en-US"/>
        </w:rPr>
        <w:t>English</w:t>
      </w:r>
      <w:r w:rsidRPr="00574F1C">
        <w:rPr>
          <w:rFonts w:ascii="Cambria" w:hAnsi="Cambria"/>
          <w:lang w:val="en-US"/>
        </w:rPr>
        <w:t xml:space="preserve"> language</w:t>
      </w:r>
      <w:r w:rsidR="00C618D8">
        <w:rPr>
          <w:rFonts w:ascii="Cambria" w:hAnsi="Cambria"/>
          <w:lang w:val="en-US"/>
        </w:rPr>
        <w:t>.</w:t>
      </w:r>
    </w:p>
    <w:p w:rsidR="00B64F56" w:rsidRPr="00E51905" w:rsidRDefault="00B64F56" w:rsidP="00B64F56">
      <w:pPr>
        <w:spacing w:after="200" w:line="276" w:lineRule="auto"/>
        <w:jc w:val="both"/>
        <w:rPr>
          <w:rFonts w:ascii="Cambria" w:hAnsi="Cambria"/>
          <w:b/>
          <w:highlight w:val="yellow"/>
          <w:lang w:val="en-TT"/>
        </w:rPr>
      </w:pPr>
    </w:p>
    <w:p w:rsidR="007A06B1" w:rsidRPr="00574F1C" w:rsidRDefault="00B64F56" w:rsidP="00B64F56">
      <w:pPr>
        <w:pStyle w:val="ListParagraph"/>
        <w:numPr>
          <w:ilvl w:val="0"/>
          <w:numId w:val="10"/>
        </w:numPr>
        <w:spacing w:after="200" w:line="276" w:lineRule="auto"/>
        <w:jc w:val="both"/>
        <w:rPr>
          <w:rFonts w:ascii="Cambria" w:hAnsi="Cambria"/>
          <w:b/>
          <w:lang w:val="en-TT"/>
        </w:rPr>
      </w:pPr>
      <w:r w:rsidRPr="00574F1C">
        <w:rPr>
          <w:rFonts w:ascii="Cambria" w:hAnsi="Cambria"/>
          <w:b/>
          <w:lang w:val="en-TT"/>
        </w:rPr>
        <w:t>R</w:t>
      </w:r>
      <w:r w:rsidR="00AA5DC2" w:rsidRPr="00574F1C">
        <w:rPr>
          <w:rFonts w:ascii="Cambria" w:hAnsi="Cambria"/>
          <w:b/>
          <w:lang w:val="en-TT"/>
        </w:rPr>
        <w:t>EMUNERATION</w:t>
      </w:r>
    </w:p>
    <w:p w:rsidR="00D910ED" w:rsidRPr="00574F1C" w:rsidRDefault="00D910ED" w:rsidP="00D910ED">
      <w:pPr>
        <w:jc w:val="both"/>
        <w:rPr>
          <w:rFonts w:ascii="Cambria" w:hAnsi="Cambria"/>
          <w:lang w:val="en-US"/>
        </w:rPr>
      </w:pPr>
      <w:r w:rsidRPr="00574F1C">
        <w:rPr>
          <w:rFonts w:ascii="Cambria" w:hAnsi="Cambria"/>
        </w:rPr>
        <w:t xml:space="preserve">The Consultant is required to submit a bid for evaluation, following which negotiations will be held with the successful applicant. </w:t>
      </w:r>
      <w:r w:rsidRPr="00574F1C">
        <w:rPr>
          <w:rFonts w:ascii="Cambria" w:hAnsi="Cambria"/>
          <w:lang w:val="en-US"/>
        </w:rPr>
        <w:t>In the assessment of submissions, consideration will be given to technical competence, qualifications and experience, demonstrated local and regional experience on similar assignments, proposed cost and existing commitments.</w:t>
      </w:r>
    </w:p>
    <w:p w:rsidR="00B64F56" w:rsidRPr="00574F1C" w:rsidRDefault="00B64F56">
      <w:pPr>
        <w:spacing w:after="200" w:line="276" w:lineRule="auto"/>
        <w:jc w:val="both"/>
        <w:rPr>
          <w:rFonts w:ascii="Cambria" w:hAnsi="Cambria"/>
          <w:b/>
          <w:lang w:val="en-US"/>
        </w:rPr>
      </w:pPr>
    </w:p>
    <w:p w:rsidR="007A06B1" w:rsidRPr="00574F1C" w:rsidRDefault="00B64F56" w:rsidP="00B64F56">
      <w:pPr>
        <w:pStyle w:val="ListParagraph"/>
        <w:numPr>
          <w:ilvl w:val="0"/>
          <w:numId w:val="10"/>
        </w:numPr>
        <w:spacing w:after="200" w:line="276" w:lineRule="auto"/>
        <w:jc w:val="both"/>
        <w:rPr>
          <w:rFonts w:ascii="Cambria" w:hAnsi="Cambria"/>
          <w:b/>
          <w:lang w:val="en-US"/>
        </w:rPr>
      </w:pPr>
      <w:r w:rsidRPr="00574F1C">
        <w:rPr>
          <w:rFonts w:ascii="Cambria" w:hAnsi="Cambria"/>
          <w:b/>
          <w:lang w:val="en-US"/>
        </w:rPr>
        <w:t>T</w:t>
      </w:r>
      <w:r w:rsidR="00354E97" w:rsidRPr="00574F1C">
        <w:rPr>
          <w:rFonts w:ascii="Cambria" w:hAnsi="Cambria"/>
          <w:b/>
          <w:lang w:val="en-US"/>
        </w:rPr>
        <w:t>IMEFRAME</w:t>
      </w:r>
    </w:p>
    <w:p w:rsidR="00D910ED" w:rsidRPr="00574F1C" w:rsidRDefault="00D910ED" w:rsidP="00D910ED">
      <w:pPr>
        <w:jc w:val="both"/>
        <w:rPr>
          <w:rFonts w:ascii="Cambria" w:hAnsi="Cambria"/>
          <w:lang w:val="en-US"/>
        </w:rPr>
      </w:pPr>
      <w:r w:rsidRPr="00574F1C">
        <w:rPr>
          <w:rFonts w:ascii="Cambria" w:hAnsi="Cambria"/>
          <w:lang w:val="en-US"/>
        </w:rPr>
        <w:t xml:space="preserve">The Consultant will be contracted for a period </w:t>
      </w:r>
      <w:r w:rsidR="00135A6C">
        <w:rPr>
          <w:rFonts w:ascii="Cambria" w:hAnsi="Cambria"/>
          <w:lang w:val="en-US"/>
        </w:rPr>
        <w:t>not exceeding five (5) months</w:t>
      </w:r>
      <w:r w:rsidR="00C618D8">
        <w:rPr>
          <w:rFonts w:ascii="Cambria" w:hAnsi="Cambria"/>
          <w:lang w:val="en-US"/>
        </w:rPr>
        <w:t>.</w:t>
      </w:r>
    </w:p>
    <w:p w:rsidR="00D910ED" w:rsidRPr="00EA2FEF" w:rsidRDefault="00D910ED" w:rsidP="00D910ED">
      <w:pPr>
        <w:jc w:val="both"/>
        <w:rPr>
          <w:rFonts w:ascii="Cambria" w:hAnsi="Cambria"/>
          <w:lang w:val="en-US"/>
        </w:rPr>
      </w:pPr>
    </w:p>
    <w:p w:rsidR="007A06B1" w:rsidRPr="00EA2FEF" w:rsidRDefault="00B64F56" w:rsidP="00B64F56">
      <w:pPr>
        <w:pStyle w:val="ListParagraph"/>
        <w:numPr>
          <w:ilvl w:val="0"/>
          <w:numId w:val="10"/>
        </w:numPr>
        <w:spacing w:after="200" w:line="276" w:lineRule="auto"/>
        <w:jc w:val="both"/>
        <w:rPr>
          <w:rFonts w:ascii="Cambria" w:hAnsi="Cambria"/>
          <w:b/>
          <w:lang w:val="en-US"/>
        </w:rPr>
      </w:pPr>
      <w:r w:rsidRPr="00EA2FEF">
        <w:rPr>
          <w:rFonts w:ascii="Cambria" w:hAnsi="Cambria"/>
          <w:b/>
          <w:lang w:val="en-US"/>
        </w:rPr>
        <w:t>S</w:t>
      </w:r>
      <w:r w:rsidR="00EA2FEF" w:rsidRPr="00EA2FEF">
        <w:rPr>
          <w:rFonts w:ascii="Cambria" w:hAnsi="Cambria"/>
          <w:b/>
          <w:lang w:val="en-US"/>
        </w:rPr>
        <w:t>UBMISSION</w:t>
      </w:r>
    </w:p>
    <w:p w:rsidR="00EA2FEF" w:rsidRPr="00EA2FEF" w:rsidRDefault="00EA2FEF" w:rsidP="00EA2FEF">
      <w:pPr>
        <w:rPr>
          <w:rFonts w:ascii="Cambria" w:hAnsi="Cambria"/>
          <w:b/>
          <w:bCs/>
          <w:i/>
          <w:iCs/>
        </w:rPr>
      </w:pPr>
      <w:r w:rsidRPr="00EA2FEF">
        <w:rPr>
          <w:rFonts w:ascii="Cambria" w:hAnsi="Cambria"/>
        </w:rPr>
        <w:t xml:space="preserve">Bidders are required to submit </w:t>
      </w:r>
      <w:r w:rsidR="00445CC2">
        <w:rPr>
          <w:rFonts w:ascii="Cambria" w:hAnsi="Cambria"/>
        </w:rPr>
        <w:t>two</w:t>
      </w:r>
      <w:r w:rsidRPr="00EA2FEF">
        <w:rPr>
          <w:rFonts w:ascii="Cambria" w:hAnsi="Cambria"/>
        </w:rPr>
        <w:t xml:space="preserve"> (</w:t>
      </w:r>
      <w:r w:rsidR="00445CC2">
        <w:rPr>
          <w:rFonts w:ascii="Cambria" w:hAnsi="Cambria"/>
        </w:rPr>
        <w:t>2</w:t>
      </w:r>
      <w:r w:rsidRPr="00EA2FEF">
        <w:rPr>
          <w:rFonts w:ascii="Cambria" w:hAnsi="Cambria"/>
        </w:rPr>
        <w:t>) hard copies of their proposal</w:t>
      </w:r>
      <w:r w:rsidR="00135A6C">
        <w:rPr>
          <w:rFonts w:ascii="Cambria" w:hAnsi="Cambria"/>
        </w:rPr>
        <w:t>,</w:t>
      </w:r>
      <w:r w:rsidRPr="00EA2FEF">
        <w:rPr>
          <w:rFonts w:ascii="Cambria" w:hAnsi="Cambria"/>
        </w:rPr>
        <w:t xml:space="preserve"> including</w:t>
      </w:r>
      <w:r w:rsidR="00135A6C">
        <w:rPr>
          <w:rFonts w:ascii="Cambria" w:hAnsi="Cambria"/>
        </w:rPr>
        <w:t xml:space="preserve"> both</w:t>
      </w:r>
      <w:r w:rsidRPr="00EA2FEF">
        <w:rPr>
          <w:rFonts w:ascii="Cambria" w:hAnsi="Cambria"/>
        </w:rPr>
        <w:t xml:space="preserve"> the </w:t>
      </w:r>
      <w:r w:rsidR="00135A6C">
        <w:rPr>
          <w:rFonts w:ascii="Cambria" w:hAnsi="Cambria"/>
        </w:rPr>
        <w:t xml:space="preserve">technical and </w:t>
      </w:r>
      <w:r w:rsidRPr="00EA2FEF">
        <w:rPr>
          <w:rFonts w:ascii="Cambria" w:hAnsi="Cambria"/>
        </w:rPr>
        <w:t>financial proposal</w:t>
      </w:r>
      <w:r w:rsidR="00135A6C">
        <w:rPr>
          <w:rFonts w:ascii="Cambria" w:hAnsi="Cambria"/>
        </w:rPr>
        <w:t>s</w:t>
      </w:r>
      <w:r w:rsidRPr="00EA2FEF">
        <w:rPr>
          <w:rFonts w:ascii="Cambria" w:hAnsi="Cambria"/>
        </w:rPr>
        <w:t xml:space="preserve">, in a sealed envelope clearly marked </w:t>
      </w:r>
      <w:r w:rsidRPr="00EA2FEF">
        <w:rPr>
          <w:rFonts w:ascii="Cambria" w:hAnsi="Cambria"/>
          <w:b/>
          <w:bCs/>
          <w:i/>
          <w:iCs/>
        </w:rPr>
        <w:t>“Consultancy: Revision of Saint Lucia’s Licensing and Quota System for ODS under the Montreal Protocol on Substances that Deplete the Ozone Layer”.</w:t>
      </w:r>
    </w:p>
    <w:p w:rsidR="00EA2FEF" w:rsidRPr="00EA2FEF" w:rsidRDefault="00EA2FEF" w:rsidP="00EA2FEF">
      <w:pPr>
        <w:tabs>
          <w:tab w:val="left" w:pos="0"/>
        </w:tabs>
        <w:jc w:val="both"/>
        <w:rPr>
          <w:rFonts w:ascii="Cambria" w:hAnsi="Cambria"/>
          <w:b/>
          <w:bCs/>
          <w:i/>
          <w:iCs/>
        </w:rPr>
      </w:pPr>
    </w:p>
    <w:p w:rsidR="00FA196B" w:rsidRDefault="00FA196B" w:rsidP="00FA196B">
      <w:pPr>
        <w:tabs>
          <w:tab w:val="left" w:pos="0"/>
        </w:tabs>
        <w:jc w:val="both"/>
        <w:rPr>
          <w:rFonts w:ascii="Cambria" w:hAnsi="Cambria"/>
        </w:rPr>
      </w:pPr>
      <w:r>
        <w:rPr>
          <w:rFonts w:ascii="Cambria" w:hAnsi="Cambria"/>
        </w:rPr>
        <w:t>Submissions must be made to the following address no later than 12 noon on Tuesday 31 December, 2019</w:t>
      </w:r>
    </w:p>
    <w:p w:rsidR="00FA196B" w:rsidRDefault="00FA196B" w:rsidP="00FA196B">
      <w:pPr>
        <w:tabs>
          <w:tab w:val="left" w:pos="0"/>
        </w:tabs>
        <w:jc w:val="both"/>
        <w:rPr>
          <w:rFonts w:ascii="Cambria" w:hAnsi="Cambria"/>
        </w:rPr>
      </w:pPr>
    </w:p>
    <w:p w:rsidR="00FA196B" w:rsidRDefault="00FA196B" w:rsidP="00FA196B">
      <w:pPr>
        <w:tabs>
          <w:tab w:val="left" w:pos="0"/>
        </w:tabs>
        <w:jc w:val="both"/>
        <w:rPr>
          <w:rFonts w:ascii="Cambria" w:hAnsi="Cambria"/>
          <w:b/>
          <w:bCs/>
        </w:rPr>
      </w:pPr>
      <w:r>
        <w:rPr>
          <w:rFonts w:ascii="Cambria" w:hAnsi="Cambria"/>
          <w:b/>
          <w:bCs/>
        </w:rPr>
        <w:t>The Secretary</w:t>
      </w:r>
    </w:p>
    <w:p w:rsidR="00FA196B" w:rsidRDefault="00FA196B" w:rsidP="00FA196B">
      <w:pPr>
        <w:tabs>
          <w:tab w:val="left" w:pos="0"/>
        </w:tabs>
        <w:jc w:val="both"/>
        <w:rPr>
          <w:rFonts w:ascii="Cambria" w:hAnsi="Cambria"/>
          <w:b/>
          <w:bCs/>
        </w:rPr>
      </w:pPr>
      <w:r>
        <w:rPr>
          <w:rFonts w:ascii="Cambria" w:hAnsi="Cambria"/>
          <w:b/>
          <w:bCs/>
        </w:rPr>
        <w:t>Department Tenders Board</w:t>
      </w:r>
    </w:p>
    <w:p w:rsidR="00FA196B" w:rsidRDefault="00FA196B" w:rsidP="00FA196B">
      <w:pPr>
        <w:tabs>
          <w:tab w:val="left" w:pos="0"/>
        </w:tabs>
        <w:jc w:val="both"/>
        <w:rPr>
          <w:rFonts w:ascii="Cambria" w:hAnsi="Cambria"/>
          <w:b/>
          <w:bCs/>
        </w:rPr>
      </w:pPr>
      <w:r>
        <w:rPr>
          <w:rFonts w:ascii="Cambria" w:hAnsi="Cambria"/>
          <w:b/>
          <w:bCs/>
        </w:rPr>
        <w:t xml:space="preserve">Department of Sustainable Development </w:t>
      </w:r>
    </w:p>
    <w:p w:rsidR="00FA196B" w:rsidRDefault="00FA196B" w:rsidP="00FA196B">
      <w:pPr>
        <w:tabs>
          <w:tab w:val="left" w:pos="0"/>
        </w:tabs>
        <w:jc w:val="both"/>
        <w:rPr>
          <w:rFonts w:ascii="Cambria" w:hAnsi="Cambria"/>
          <w:b/>
          <w:bCs/>
        </w:rPr>
      </w:pPr>
      <w:r>
        <w:rPr>
          <w:rFonts w:ascii="Cambria" w:hAnsi="Cambria"/>
          <w:b/>
          <w:bCs/>
        </w:rPr>
        <w:t>Georgiana Court</w:t>
      </w:r>
    </w:p>
    <w:p w:rsidR="00FA196B" w:rsidRDefault="00FA196B" w:rsidP="00FA196B">
      <w:pPr>
        <w:tabs>
          <w:tab w:val="left" w:pos="0"/>
        </w:tabs>
        <w:jc w:val="both"/>
        <w:rPr>
          <w:rFonts w:ascii="Cambria" w:hAnsi="Cambria"/>
          <w:b/>
          <w:bCs/>
        </w:rPr>
      </w:pPr>
      <w:r>
        <w:rPr>
          <w:rFonts w:ascii="Cambria" w:hAnsi="Cambria"/>
          <w:b/>
          <w:bCs/>
        </w:rPr>
        <w:t>John Compton Highway</w:t>
      </w:r>
    </w:p>
    <w:p w:rsidR="00FA196B" w:rsidRDefault="00FA196B" w:rsidP="00FA196B">
      <w:pPr>
        <w:tabs>
          <w:tab w:val="left" w:pos="0"/>
        </w:tabs>
        <w:jc w:val="both"/>
        <w:rPr>
          <w:rFonts w:ascii="Cambria" w:hAnsi="Cambria"/>
          <w:b/>
          <w:bCs/>
        </w:rPr>
      </w:pPr>
      <w:proofErr w:type="spellStart"/>
      <w:r>
        <w:rPr>
          <w:rFonts w:ascii="Cambria" w:hAnsi="Cambria"/>
          <w:b/>
          <w:bCs/>
        </w:rPr>
        <w:t>Vigie</w:t>
      </w:r>
      <w:proofErr w:type="spellEnd"/>
    </w:p>
    <w:p w:rsidR="00FA196B" w:rsidRDefault="00FA196B" w:rsidP="00FA196B">
      <w:pPr>
        <w:jc w:val="both"/>
        <w:rPr>
          <w:rFonts w:ascii="Cambria" w:hAnsi="Cambria"/>
          <w:sz w:val="22"/>
          <w:szCs w:val="22"/>
        </w:rPr>
      </w:pPr>
      <w:r>
        <w:rPr>
          <w:rFonts w:ascii="Cambria" w:hAnsi="Cambria"/>
          <w:b/>
          <w:bCs/>
        </w:rPr>
        <w:t>CASTRIES</w:t>
      </w:r>
    </w:p>
    <w:p w:rsidR="00510A7B" w:rsidRPr="00EA2FEF" w:rsidRDefault="00510A7B">
      <w:pPr>
        <w:rPr>
          <w:rFonts w:ascii="Cambria" w:hAnsi="Cambria"/>
          <w:b/>
          <w:bCs/>
          <w:u w:val="single"/>
          <w:lang w:val="en-US"/>
        </w:rPr>
      </w:pPr>
    </w:p>
    <w:sectPr w:rsidR="00510A7B" w:rsidRPr="00EA2FEF" w:rsidSect="001A4D6A">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91D" w:rsidRDefault="00FD491D" w:rsidP="005D1B4C">
      <w:r>
        <w:separator/>
      </w:r>
    </w:p>
  </w:endnote>
  <w:endnote w:type="continuationSeparator" w:id="0">
    <w:p w:rsidR="00FD491D" w:rsidRDefault="00FD491D" w:rsidP="005D1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91D" w:rsidRDefault="00FD491D" w:rsidP="005D1B4C">
      <w:r>
        <w:separator/>
      </w:r>
    </w:p>
  </w:footnote>
  <w:footnote w:type="continuationSeparator" w:id="0">
    <w:p w:rsidR="00FD491D" w:rsidRDefault="00FD491D" w:rsidP="005D1B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4AA7"/>
    <w:multiLevelType w:val="multilevel"/>
    <w:tmpl w:val="798664CE"/>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25334C"/>
    <w:multiLevelType w:val="hybridMultilevel"/>
    <w:tmpl w:val="4A0C2832"/>
    <w:lvl w:ilvl="0" w:tplc="5944F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B6A49"/>
    <w:multiLevelType w:val="hybridMultilevel"/>
    <w:tmpl w:val="E6BC5C4C"/>
    <w:lvl w:ilvl="0" w:tplc="47DE94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05AF"/>
    <w:multiLevelType w:val="hybridMultilevel"/>
    <w:tmpl w:val="6B8C39DE"/>
    <w:lvl w:ilvl="0" w:tplc="20CEFB3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5F325B"/>
    <w:multiLevelType w:val="hybridMultilevel"/>
    <w:tmpl w:val="C2D85D62"/>
    <w:lvl w:ilvl="0" w:tplc="D22A0C84">
      <w:start w:val="1"/>
      <w:numFmt w:val="decimal"/>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E405F"/>
    <w:multiLevelType w:val="hybridMultilevel"/>
    <w:tmpl w:val="951A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85A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DE2D06"/>
    <w:multiLevelType w:val="hybridMultilevel"/>
    <w:tmpl w:val="1414C6B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8">
    <w:nsid w:val="31891D4D"/>
    <w:multiLevelType w:val="multilevel"/>
    <w:tmpl w:val="2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07713C"/>
    <w:multiLevelType w:val="hybridMultilevel"/>
    <w:tmpl w:val="B6A43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82B74"/>
    <w:multiLevelType w:val="hybridMultilevel"/>
    <w:tmpl w:val="26C8211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4C3B3869"/>
    <w:multiLevelType w:val="multilevel"/>
    <w:tmpl w:val="2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221B77"/>
    <w:multiLevelType w:val="hybridMultilevel"/>
    <w:tmpl w:val="6DC8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A51BAD"/>
    <w:multiLevelType w:val="hybridMultilevel"/>
    <w:tmpl w:val="E3641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A610E33"/>
    <w:multiLevelType w:val="hybridMultilevel"/>
    <w:tmpl w:val="D024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927AC4"/>
    <w:multiLevelType w:val="multilevel"/>
    <w:tmpl w:val="59CEC84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6A685BCF"/>
    <w:multiLevelType w:val="hybridMultilevel"/>
    <w:tmpl w:val="9E188382"/>
    <w:lvl w:ilvl="0" w:tplc="2C1EE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A3043"/>
    <w:multiLevelType w:val="multilevel"/>
    <w:tmpl w:val="7968E6E2"/>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nsid w:val="71A75625"/>
    <w:multiLevelType w:val="hybridMultilevel"/>
    <w:tmpl w:val="41A2366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4D71E06"/>
    <w:multiLevelType w:val="hybridMultilevel"/>
    <w:tmpl w:val="241208DA"/>
    <w:lvl w:ilvl="0" w:tplc="006A3CCA">
      <w:start w:val="1"/>
      <w:numFmt w:val="decimal"/>
      <w:lvlText w:val="%1."/>
      <w:lvlJc w:val="left"/>
      <w:pPr>
        <w:ind w:left="720" w:hanging="360"/>
      </w:pPr>
      <w:rPr>
        <w:rFonts w:ascii="Times New Roman" w:eastAsiaTheme="minorEastAsia" w:hAnsi="Times New Roman" w:cs="Times New Roman"/>
        <w:b/>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16"/>
  </w:num>
  <w:num w:numId="6">
    <w:abstractNumId w:val="18"/>
  </w:num>
  <w:num w:numId="7">
    <w:abstractNumId w:val="12"/>
  </w:num>
  <w:num w:numId="8">
    <w:abstractNumId w:val="13"/>
  </w:num>
  <w:num w:numId="9">
    <w:abstractNumId w:val="4"/>
  </w:num>
  <w:num w:numId="10">
    <w:abstractNumId w:val="8"/>
  </w:num>
  <w:num w:numId="11">
    <w:abstractNumId w:val="7"/>
  </w:num>
  <w:num w:numId="12">
    <w:abstractNumId w:val="0"/>
  </w:num>
  <w:num w:numId="13">
    <w:abstractNumId w:val="19"/>
  </w:num>
  <w:num w:numId="14">
    <w:abstractNumId w:val="17"/>
  </w:num>
  <w:num w:numId="15">
    <w:abstractNumId w:val="15"/>
  </w:num>
  <w:num w:numId="16">
    <w:abstractNumId w:val="10"/>
  </w:num>
  <w:num w:numId="17">
    <w:abstractNumId w:val="11"/>
  </w:num>
  <w:num w:numId="18">
    <w:abstractNumId w:val="14"/>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
  <w:rsids>
    <w:rsidRoot w:val="00B469C8"/>
    <w:rsid w:val="00005470"/>
    <w:rsid w:val="000134CB"/>
    <w:rsid w:val="00017A84"/>
    <w:rsid w:val="000246D2"/>
    <w:rsid w:val="00025992"/>
    <w:rsid w:val="00026F40"/>
    <w:rsid w:val="00030760"/>
    <w:rsid w:val="00043746"/>
    <w:rsid w:val="00053302"/>
    <w:rsid w:val="000562D9"/>
    <w:rsid w:val="00063009"/>
    <w:rsid w:val="00077515"/>
    <w:rsid w:val="000840F7"/>
    <w:rsid w:val="000934D3"/>
    <w:rsid w:val="000A746C"/>
    <w:rsid w:val="000B3E9D"/>
    <w:rsid w:val="000B530E"/>
    <w:rsid w:val="000B539E"/>
    <w:rsid w:val="000C1B63"/>
    <w:rsid w:val="000C56FA"/>
    <w:rsid w:val="000E3D97"/>
    <w:rsid w:val="001160D0"/>
    <w:rsid w:val="00131C80"/>
    <w:rsid w:val="00135A6C"/>
    <w:rsid w:val="00140760"/>
    <w:rsid w:val="001431A6"/>
    <w:rsid w:val="00154483"/>
    <w:rsid w:val="00155DCB"/>
    <w:rsid w:val="00157417"/>
    <w:rsid w:val="0016530F"/>
    <w:rsid w:val="001670E5"/>
    <w:rsid w:val="001769C4"/>
    <w:rsid w:val="001934E7"/>
    <w:rsid w:val="001A4D6A"/>
    <w:rsid w:val="001F4397"/>
    <w:rsid w:val="00250623"/>
    <w:rsid w:val="00257B4F"/>
    <w:rsid w:val="00261A46"/>
    <w:rsid w:val="0026315C"/>
    <w:rsid w:val="00263649"/>
    <w:rsid w:val="00282B35"/>
    <w:rsid w:val="002901BA"/>
    <w:rsid w:val="00290E6A"/>
    <w:rsid w:val="002A6660"/>
    <w:rsid w:val="002B045E"/>
    <w:rsid w:val="002B4179"/>
    <w:rsid w:val="002B550E"/>
    <w:rsid w:val="002C0461"/>
    <w:rsid w:val="002F2B9E"/>
    <w:rsid w:val="002F4250"/>
    <w:rsid w:val="002F7A37"/>
    <w:rsid w:val="0030645C"/>
    <w:rsid w:val="003140A1"/>
    <w:rsid w:val="00320929"/>
    <w:rsid w:val="00320D83"/>
    <w:rsid w:val="00323CE9"/>
    <w:rsid w:val="00343C0C"/>
    <w:rsid w:val="00354E97"/>
    <w:rsid w:val="00355BC8"/>
    <w:rsid w:val="003628EE"/>
    <w:rsid w:val="0036612E"/>
    <w:rsid w:val="00366FEC"/>
    <w:rsid w:val="003779F6"/>
    <w:rsid w:val="0038525A"/>
    <w:rsid w:val="003A078F"/>
    <w:rsid w:val="003C5834"/>
    <w:rsid w:val="003C6797"/>
    <w:rsid w:val="003D4455"/>
    <w:rsid w:val="003D4726"/>
    <w:rsid w:val="003D6A75"/>
    <w:rsid w:val="003E27D0"/>
    <w:rsid w:val="003E4D08"/>
    <w:rsid w:val="003F337E"/>
    <w:rsid w:val="003F6EE2"/>
    <w:rsid w:val="00414768"/>
    <w:rsid w:val="0043131A"/>
    <w:rsid w:val="00445CC2"/>
    <w:rsid w:val="00474DF6"/>
    <w:rsid w:val="0049758D"/>
    <w:rsid w:val="004A4CA6"/>
    <w:rsid w:val="004A52AB"/>
    <w:rsid w:val="004A6FD7"/>
    <w:rsid w:val="004B5F70"/>
    <w:rsid w:val="004C2B03"/>
    <w:rsid w:val="004C6D42"/>
    <w:rsid w:val="004D6095"/>
    <w:rsid w:val="004E3BEF"/>
    <w:rsid w:val="004E537B"/>
    <w:rsid w:val="00510A7B"/>
    <w:rsid w:val="005144D2"/>
    <w:rsid w:val="0053064F"/>
    <w:rsid w:val="0054367D"/>
    <w:rsid w:val="00543EB9"/>
    <w:rsid w:val="00544740"/>
    <w:rsid w:val="00545CA6"/>
    <w:rsid w:val="0055126D"/>
    <w:rsid w:val="00554375"/>
    <w:rsid w:val="0056154E"/>
    <w:rsid w:val="00574F1C"/>
    <w:rsid w:val="00581328"/>
    <w:rsid w:val="0058575B"/>
    <w:rsid w:val="00587F7A"/>
    <w:rsid w:val="00595516"/>
    <w:rsid w:val="00596EB0"/>
    <w:rsid w:val="005A0679"/>
    <w:rsid w:val="005A4A51"/>
    <w:rsid w:val="005A7CDB"/>
    <w:rsid w:val="005C073A"/>
    <w:rsid w:val="005C2064"/>
    <w:rsid w:val="005D1B4C"/>
    <w:rsid w:val="005E28D8"/>
    <w:rsid w:val="005E4C63"/>
    <w:rsid w:val="005F665B"/>
    <w:rsid w:val="00601566"/>
    <w:rsid w:val="0061271D"/>
    <w:rsid w:val="00612CFB"/>
    <w:rsid w:val="00624374"/>
    <w:rsid w:val="0063650D"/>
    <w:rsid w:val="00652F72"/>
    <w:rsid w:val="00662D7C"/>
    <w:rsid w:val="006731BD"/>
    <w:rsid w:val="00675481"/>
    <w:rsid w:val="006806F7"/>
    <w:rsid w:val="0068164C"/>
    <w:rsid w:val="0068202E"/>
    <w:rsid w:val="006A5834"/>
    <w:rsid w:val="006A7E2D"/>
    <w:rsid w:val="006C0E90"/>
    <w:rsid w:val="006D04B5"/>
    <w:rsid w:val="006D06DA"/>
    <w:rsid w:val="006D34AC"/>
    <w:rsid w:val="006E0E28"/>
    <w:rsid w:val="006F7BA2"/>
    <w:rsid w:val="007029F3"/>
    <w:rsid w:val="00703506"/>
    <w:rsid w:val="007045B5"/>
    <w:rsid w:val="00705B60"/>
    <w:rsid w:val="0071020F"/>
    <w:rsid w:val="00711CBF"/>
    <w:rsid w:val="00736335"/>
    <w:rsid w:val="007405F0"/>
    <w:rsid w:val="00740686"/>
    <w:rsid w:val="00747F39"/>
    <w:rsid w:val="00772643"/>
    <w:rsid w:val="00785006"/>
    <w:rsid w:val="0079155E"/>
    <w:rsid w:val="00793D08"/>
    <w:rsid w:val="00795A1D"/>
    <w:rsid w:val="007A06B1"/>
    <w:rsid w:val="007A0EA7"/>
    <w:rsid w:val="007A3E69"/>
    <w:rsid w:val="007C2681"/>
    <w:rsid w:val="007D02B4"/>
    <w:rsid w:val="007D09A8"/>
    <w:rsid w:val="007D3A26"/>
    <w:rsid w:val="007D6EDA"/>
    <w:rsid w:val="007D733B"/>
    <w:rsid w:val="007E0218"/>
    <w:rsid w:val="007E552F"/>
    <w:rsid w:val="007F3E53"/>
    <w:rsid w:val="007F67DB"/>
    <w:rsid w:val="00817D4C"/>
    <w:rsid w:val="00827DD8"/>
    <w:rsid w:val="00834D87"/>
    <w:rsid w:val="008454DE"/>
    <w:rsid w:val="00870810"/>
    <w:rsid w:val="00887C56"/>
    <w:rsid w:val="008912CC"/>
    <w:rsid w:val="008A5291"/>
    <w:rsid w:val="008A73B1"/>
    <w:rsid w:val="008B7B3A"/>
    <w:rsid w:val="00904726"/>
    <w:rsid w:val="00910C16"/>
    <w:rsid w:val="0091188C"/>
    <w:rsid w:val="009259BB"/>
    <w:rsid w:val="00933920"/>
    <w:rsid w:val="00951405"/>
    <w:rsid w:val="00956191"/>
    <w:rsid w:val="00962188"/>
    <w:rsid w:val="009826AE"/>
    <w:rsid w:val="0099241D"/>
    <w:rsid w:val="00994DF6"/>
    <w:rsid w:val="00995413"/>
    <w:rsid w:val="00997AC3"/>
    <w:rsid w:val="009B2829"/>
    <w:rsid w:val="009B4EC6"/>
    <w:rsid w:val="009B5120"/>
    <w:rsid w:val="009D19D8"/>
    <w:rsid w:val="009E57F3"/>
    <w:rsid w:val="009F1A6D"/>
    <w:rsid w:val="00A03ACB"/>
    <w:rsid w:val="00A36AF5"/>
    <w:rsid w:val="00A4201C"/>
    <w:rsid w:val="00A42217"/>
    <w:rsid w:val="00A45443"/>
    <w:rsid w:val="00A520C3"/>
    <w:rsid w:val="00A522AB"/>
    <w:rsid w:val="00A56BBC"/>
    <w:rsid w:val="00A63D9C"/>
    <w:rsid w:val="00A873FA"/>
    <w:rsid w:val="00AA5DC2"/>
    <w:rsid w:val="00AA76BE"/>
    <w:rsid w:val="00AB0F92"/>
    <w:rsid w:val="00AC08A4"/>
    <w:rsid w:val="00AD1250"/>
    <w:rsid w:val="00AD5BAB"/>
    <w:rsid w:val="00AD604B"/>
    <w:rsid w:val="00AE37FE"/>
    <w:rsid w:val="00AE5977"/>
    <w:rsid w:val="00AF16C7"/>
    <w:rsid w:val="00AF4031"/>
    <w:rsid w:val="00AF7E49"/>
    <w:rsid w:val="00B01496"/>
    <w:rsid w:val="00B16121"/>
    <w:rsid w:val="00B2402F"/>
    <w:rsid w:val="00B266F3"/>
    <w:rsid w:val="00B27E6A"/>
    <w:rsid w:val="00B32811"/>
    <w:rsid w:val="00B33F43"/>
    <w:rsid w:val="00B34974"/>
    <w:rsid w:val="00B41697"/>
    <w:rsid w:val="00B45AAB"/>
    <w:rsid w:val="00B469C8"/>
    <w:rsid w:val="00B51914"/>
    <w:rsid w:val="00B54369"/>
    <w:rsid w:val="00B57E69"/>
    <w:rsid w:val="00B621E4"/>
    <w:rsid w:val="00B64F56"/>
    <w:rsid w:val="00B64FC1"/>
    <w:rsid w:val="00B71A5B"/>
    <w:rsid w:val="00B77612"/>
    <w:rsid w:val="00B77A0A"/>
    <w:rsid w:val="00B901AC"/>
    <w:rsid w:val="00BA366E"/>
    <w:rsid w:val="00BA62B6"/>
    <w:rsid w:val="00BA7365"/>
    <w:rsid w:val="00BA7EAD"/>
    <w:rsid w:val="00BC20CE"/>
    <w:rsid w:val="00BC685F"/>
    <w:rsid w:val="00BD233D"/>
    <w:rsid w:val="00BE7F91"/>
    <w:rsid w:val="00C14893"/>
    <w:rsid w:val="00C220DA"/>
    <w:rsid w:val="00C306F9"/>
    <w:rsid w:val="00C33821"/>
    <w:rsid w:val="00C41126"/>
    <w:rsid w:val="00C42A11"/>
    <w:rsid w:val="00C44AC7"/>
    <w:rsid w:val="00C53888"/>
    <w:rsid w:val="00C618D8"/>
    <w:rsid w:val="00C73488"/>
    <w:rsid w:val="00C75F01"/>
    <w:rsid w:val="00C82006"/>
    <w:rsid w:val="00CB174F"/>
    <w:rsid w:val="00CB3373"/>
    <w:rsid w:val="00CC0B87"/>
    <w:rsid w:val="00CC185B"/>
    <w:rsid w:val="00CC3206"/>
    <w:rsid w:val="00CD3B38"/>
    <w:rsid w:val="00CD5E5B"/>
    <w:rsid w:val="00CF6CCE"/>
    <w:rsid w:val="00D024DC"/>
    <w:rsid w:val="00D06E62"/>
    <w:rsid w:val="00D20007"/>
    <w:rsid w:val="00D217CE"/>
    <w:rsid w:val="00D32ECC"/>
    <w:rsid w:val="00D45A42"/>
    <w:rsid w:val="00D6372B"/>
    <w:rsid w:val="00D63C5C"/>
    <w:rsid w:val="00D910ED"/>
    <w:rsid w:val="00DB5F6B"/>
    <w:rsid w:val="00DD0205"/>
    <w:rsid w:val="00DD4DD3"/>
    <w:rsid w:val="00DF3EEB"/>
    <w:rsid w:val="00E01477"/>
    <w:rsid w:val="00E06F90"/>
    <w:rsid w:val="00E1196A"/>
    <w:rsid w:val="00E14E9D"/>
    <w:rsid w:val="00E15A68"/>
    <w:rsid w:val="00E30944"/>
    <w:rsid w:val="00E30B22"/>
    <w:rsid w:val="00E33C65"/>
    <w:rsid w:val="00E43EF2"/>
    <w:rsid w:val="00E445D8"/>
    <w:rsid w:val="00E51905"/>
    <w:rsid w:val="00E51D20"/>
    <w:rsid w:val="00E545B6"/>
    <w:rsid w:val="00E62A36"/>
    <w:rsid w:val="00E664B2"/>
    <w:rsid w:val="00E702CA"/>
    <w:rsid w:val="00E74806"/>
    <w:rsid w:val="00E74DA3"/>
    <w:rsid w:val="00E82132"/>
    <w:rsid w:val="00E84F7D"/>
    <w:rsid w:val="00E87E4A"/>
    <w:rsid w:val="00E9285D"/>
    <w:rsid w:val="00EA133A"/>
    <w:rsid w:val="00EA2FEF"/>
    <w:rsid w:val="00EC134F"/>
    <w:rsid w:val="00ED0257"/>
    <w:rsid w:val="00ED6713"/>
    <w:rsid w:val="00EE34C4"/>
    <w:rsid w:val="00F01083"/>
    <w:rsid w:val="00F02D13"/>
    <w:rsid w:val="00F2452D"/>
    <w:rsid w:val="00F41ED9"/>
    <w:rsid w:val="00F548E0"/>
    <w:rsid w:val="00F70661"/>
    <w:rsid w:val="00F71DA4"/>
    <w:rsid w:val="00F80A89"/>
    <w:rsid w:val="00F80EFD"/>
    <w:rsid w:val="00F956AD"/>
    <w:rsid w:val="00FA196B"/>
    <w:rsid w:val="00FC0CEC"/>
    <w:rsid w:val="00FC4AFE"/>
    <w:rsid w:val="00FD1DC6"/>
    <w:rsid w:val="00FD491D"/>
    <w:rsid w:val="00FE5070"/>
    <w:rsid w:val="00FF378A"/>
  </w:rsids>
  <m:mathPr>
    <m:mathFont m:val="Cambria Math"/>
    <m:brkBin m:val="before"/>
    <m:brkBinSub m:val="--"/>
    <m:smallFrac/>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5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01AC"/>
    <w:pPr>
      <w:ind w:left="720"/>
      <w:contextualSpacing/>
    </w:pPr>
  </w:style>
  <w:style w:type="table" w:styleId="TableGrid">
    <w:name w:val="Table Grid"/>
    <w:basedOn w:val="TableNormal"/>
    <w:uiPriority w:val="59"/>
    <w:rsid w:val="00140760"/>
    <w:rPr>
      <w:rFonts w:eastAsiaTheme="minorHAns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22AB"/>
    <w:rPr>
      <w:rFonts w:ascii="Tahoma" w:hAnsi="Tahoma" w:cs="Tahoma"/>
      <w:sz w:val="16"/>
      <w:szCs w:val="16"/>
    </w:rPr>
  </w:style>
  <w:style w:type="character" w:customStyle="1" w:styleId="BalloonTextChar">
    <w:name w:val="Balloon Text Char"/>
    <w:basedOn w:val="DefaultParagraphFont"/>
    <w:link w:val="BalloonText"/>
    <w:uiPriority w:val="99"/>
    <w:semiHidden/>
    <w:rsid w:val="00A522AB"/>
    <w:rPr>
      <w:rFonts w:ascii="Tahoma" w:hAnsi="Tahoma" w:cs="Tahoma"/>
      <w:sz w:val="16"/>
      <w:szCs w:val="16"/>
      <w:lang w:val="en-GB"/>
    </w:rPr>
  </w:style>
  <w:style w:type="character" w:styleId="CommentReference">
    <w:name w:val="annotation reference"/>
    <w:basedOn w:val="DefaultParagraphFont"/>
    <w:uiPriority w:val="99"/>
    <w:unhideWhenUsed/>
    <w:rsid w:val="002F4250"/>
    <w:rPr>
      <w:sz w:val="18"/>
      <w:szCs w:val="18"/>
    </w:rPr>
  </w:style>
  <w:style w:type="paragraph" w:styleId="CommentText">
    <w:name w:val="annotation text"/>
    <w:basedOn w:val="Normal"/>
    <w:link w:val="CommentTextChar"/>
    <w:uiPriority w:val="99"/>
    <w:unhideWhenUsed/>
    <w:rsid w:val="002F4250"/>
  </w:style>
  <w:style w:type="character" w:customStyle="1" w:styleId="CommentTextChar">
    <w:name w:val="Comment Text Char"/>
    <w:basedOn w:val="DefaultParagraphFont"/>
    <w:link w:val="CommentText"/>
    <w:uiPriority w:val="99"/>
    <w:rsid w:val="002F4250"/>
    <w:rPr>
      <w:lang w:val="en-GB"/>
    </w:rPr>
  </w:style>
  <w:style w:type="paragraph" w:styleId="CommentSubject">
    <w:name w:val="annotation subject"/>
    <w:basedOn w:val="CommentText"/>
    <w:next w:val="CommentText"/>
    <w:link w:val="CommentSubjectChar"/>
    <w:uiPriority w:val="99"/>
    <w:semiHidden/>
    <w:unhideWhenUsed/>
    <w:rsid w:val="002F4250"/>
    <w:rPr>
      <w:b/>
      <w:bCs/>
    </w:rPr>
  </w:style>
  <w:style w:type="character" w:customStyle="1" w:styleId="CommentSubjectChar">
    <w:name w:val="Comment Subject Char"/>
    <w:basedOn w:val="CommentTextChar"/>
    <w:link w:val="CommentSubject"/>
    <w:uiPriority w:val="99"/>
    <w:semiHidden/>
    <w:rsid w:val="002F4250"/>
    <w:rPr>
      <w:b/>
      <w:bCs/>
      <w:lang w:val="en-GB"/>
    </w:rPr>
  </w:style>
  <w:style w:type="paragraph" w:styleId="Header">
    <w:name w:val="header"/>
    <w:basedOn w:val="Normal"/>
    <w:link w:val="HeaderChar"/>
    <w:uiPriority w:val="99"/>
    <w:unhideWhenUsed/>
    <w:rsid w:val="005D1B4C"/>
    <w:pPr>
      <w:tabs>
        <w:tab w:val="center" w:pos="4513"/>
        <w:tab w:val="right" w:pos="9026"/>
      </w:tabs>
      <w:snapToGrid w:val="0"/>
    </w:pPr>
  </w:style>
  <w:style w:type="character" w:customStyle="1" w:styleId="HeaderChar">
    <w:name w:val="Header Char"/>
    <w:basedOn w:val="DefaultParagraphFont"/>
    <w:link w:val="Header"/>
    <w:uiPriority w:val="99"/>
    <w:rsid w:val="005D1B4C"/>
    <w:rPr>
      <w:lang w:val="en-GB"/>
    </w:rPr>
  </w:style>
  <w:style w:type="paragraph" w:styleId="Footer">
    <w:name w:val="footer"/>
    <w:basedOn w:val="Normal"/>
    <w:link w:val="FooterChar"/>
    <w:uiPriority w:val="99"/>
    <w:unhideWhenUsed/>
    <w:rsid w:val="005D1B4C"/>
    <w:pPr>
      <w:tabs>
        <w:tab w:val="center" w:pos="4513"/>
        <w:tab w:val="right" w:pos="9026"/>
      </w:tabs>
      <w:snapToGrid w:val="0"/>
    </w:pPr>
  </w:style>
  <w:style w:type="character" w:customStyle="1" w:styleId="FooterChar">
    <w:name w:val="Footer Char"/>
    <w:basedOn w:val="DefaultParagraphFont"/>
    <w:link w:val="Footer"/>
    <w:uiPriority w:val="99"/>
    <w:rsid w:val="005D1B4C"/>
    <w:rPr>
      <w:lang w:val="en-GB"/>
    </w:rPr>
  </w:style>
  <w:style w:type="paragraph" w:styleId="FootnoteText">
    <w:name w:val="footnote text"/>
    <w:basedOn w:val="Normal"/>
    <w:link w:val="FootnoteTextChar"/>
    <w:uiPriority w:val="99"/>
    <w:semiHidden/>
    <w:unhideWhenUsed/>
    <w:rsid w:val="00BA62B6"/>
    <w:rPr>
      <w:rFonts w:eastAsia="Batang"/>
      <w:sz w:val="20"/>
      <w:szCs w:val="20"/>
      <w:lang w:eastAsia="en-US"/>
    </w:rPr>
  </w:style>
  <w:style w:type="character" w:customStyle="1" w:styleId="FootnoteTextChar">
    <w:name w:val="Footnote Text Char"/>
    <w:basedOn w:val="DefaultParagraphFont"/>
    <w:link w:val="FootnoteText"/>
    <w:uiPriority w:val="99"/>
    <w:semiHidden/>
    <w:rsid w:val="00BA62B6"/>
    <w:rPr>
      <w:rFonts w:eastAsia="Batang"/>
      <w:sz w:val="20"/>
      <w:szCs w:val="20"/>
      <w:lang w:val="en-GB" w:eastAsia="en-US"/>
    </w:rPr>
  </w:style>
  <w:style w:type="character" w:styleId="FootnoteReference">
    <w:name w:val="footnote reference"/>
    <w:basedOn w:val="DefaultParagraphFont"/>
    <w:uiPriority w:val="99"/>
    <w:semiHidden/>
    <w:unhideWhenUsed/>
    <w:rsid w:val="00BA62B6"/>
    <w:rPr>
      <w:vertAlign w:val="superscript"/>
    </w:rPr>
  </w:style>
</w:styles>
</file>

<file path=word/webSettings.xml><?xml version="1.0" encoding="utf-8"?>
<w:webSettings xmlns:r="http://schemas.openxmlformats.org/officeDocument/2006/relationships" xmlns:w="http://schemas.openxmlformats.org/wordprocessingml/2006/main">
  <w:divs>
    <w:div w:id="141580828">
      <w:bodyDiv w:val="1"/>
      <w:marLeft w:val="0"/>
      <w:marRight w:val="0"/>
      <w:marTop w:val="0"/>
      <w:marBottom w:val="0"/>
      <w:divBdr>
        <w:top w:val="none" w:sz="0" w:space="0" w:color="auto"/>
        <w:left w:val="none" w:sz="0" w:space="0" w:color="auto"/>
        <w:bottom w:val="none" w:sz="0" w:space="0" w:color="auto"/>
        <w:right w:val="none" w:sz="0" w:space="0" w:color="auto"/>
      </w:divBdr>
    </w:div>
    <w:div w:id="3210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C75B-CAA5-40A8-9E77-A2AD0C98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1214</Words>
  <Characters>6920</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Alvin Jose</dc:creator>
  <cp:lastModifiedBy>kjnbaptiste</cp:lastModifiedBy>
  <cp:revision>15</cp:revision>
  <dcterms:created xsi:type="dcterms:W3CDTF">2019-08-04T22:36:00Z</dcterms:created>
  <dcterms:modified xsi:type="dcterms:W3CDTF">2019-11-27T13:49:00Z</dcterms:modified>
</cp:coreProperties>
</file>