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E9615" w14:textId="77777777" w:rsidR="004E7CEA" w:rsidRDefault="004E7CEA" w:rsidP="004E7CEA">
      <w:pPr>
        <w:jc w:val="center"/>
      </w:pPr>
    </w:p>
    <w:p w14:paraId="2FE063FE" w14:textId="51BBF0E7" w:rsidR="004E7CEA" w:rsidRDefault="004E7CEA" w:rsidP="004E7CEA">
      <w:pPr>
        <w:jc w:val="center"/>
      </w:pPr>
    </w:p>
    <w:p w14:paraId="2F7540CA" w14:textId="77777777" w:rsidR="00E069CB" w:rsidRPr="000A0AEB" w:rsidRDefault="00E069CB" w:rsidP="00E069CB">
      <w:pPr>
        <w:jc w:val="center"/>
        <w:rPr>
          <w:rFonts w:ascii="Corbel" w:hAnsi="Corbel"/>
          <w:b/>
          <w:color w:val="70AD47" w:themeColor="accent6"/>
          <w:sz w:val="40"/>
        </w:rPr>
      </w:pPr>
    </w:p>
    <w:p w14:paraId="40435688" w14:textId="65801AEF" w:rsidR="00E069CB" w:rsidRDefault="00DB6166" w:rsidP="00DB6166">
      <w:pPr>
        <w:tabs>
          <w:tab w:val="left" w:pos="5577"/>
          <w:tab w:val="left" w:pos="6234"/>
        </w:tabs>
        <w:rPr>
          <w:rFonts w:ascii="Corbel" w:hAnsi="Corbel"/>
          <w:b/>
          <w:color w:val="808080" w:themeColor="background1" w:themeShade="80"/>
          <w:sz w:val="40"/>
        </w:rPr>
      </w:pPr>
      <w:r>
        <w:rPr>
          <w:rFonts w:ascii="Corbel" w:hAnsi="Corbel"/>
          <w:b/>
          <w:color w:val="808080" w:themeColor="background1" w:themeShade="80"/>
          <w:sz w:val="40"/>
        </w:rPr>
        <w:tab/>
      </w:r>
      <w:r>
        <w:rPr>
          <w:rFonts w:ascii="Corbel" w:hAnsi="Corbel"/>
          <w:b/>
          <w:color w:val="808080" w:themeColor="background1" w:themeShade="80"/>
          <w:sz w:val="40"/>
        </w:rPr>
        <w:tab/>
      </w:r>
    </w:p>
    <w:p w14:paraId="62E1CEFA" w14:textId="77777777" w:rsidR="00E069CB" w:rsidRDefault="00E069CB" w:rsidP="00E069CB">
      <w:pPr>
        <w:jc w:val="center"/>
        <w:rPr>
          <w:rFonts w:ascii="Bookman Old Style" w:hAnsi="Bookman Old Style" w:cstheme="minorHAnsi"/>
          <w:b/>
          <w:sz w:val="36"/>
          <w:szCs w:val="36"/>
        </w:rPr>
      </w:pPr>
    </w:p>
    <w:p w14:paraId="725B6E61" w14:textId="42AF35CE" w:rsidR="00E069CB" w:rsidRPr="004E3CF3" w:rsidRDefault="00E069CB" w:rsidP="00E069CB">
      <w:pPr>
        <w:jc w:val="center"/>
        <w:rPr>
          <w:rFonts w:ascii="Bookman Old Style" w:hAnsi="Bookman Old Style" w:cstheme="minorHAnsi"/>
          <w:b/>
          <w:sz w:val="36"/>
          <w:szCs w:val="36"/>
        </w:rPr>
      </w:pPr>
      <w:r w:rsidRPr="004E3CF3">
        <w:rPr>
          <w:rFonts w:ascii="Bookman Old Style" w:hAnsi="Bookman Old Style" w:cstheme="minorHAnsi"/>
          <w:b/>
          <w:sz w:val="36"/>
          <w:szCs w:val="36"/>
        </w:rPr>
        <w:t>Saint Lucia</w:t>
      </w:r>
      <w:r w:rsidRPr="004E3CF3">
        <w:rPr>
          <w:rFonts w:ascii="Bookman Old Style" w:hAnsi="Bookman Old Style"/>
          <w:b/>
          <w:sz w:val="36"/>
          <w:szCs w:val="36"/>
        </w:rPr>
        <w:t xml:space="preserve"> </w:t>
      </w:r>
    </w:p>
    <w:p w14:paraId="38A66A50" w14:textId="77777777" w:rsidR="00E069CB" w:rsidRPr="004E3CF3" w:rsidRDefault="00E069CB" w:rsidP="00E069CB">
      <w:pPr>
        <w:jc w:val="center"/>
        <w:rPr>
          <w:rFonts w:ascii="Bookman Old Style" w:hAnsi="Bookman Old Style"/>
          <w:b/>
          <w:sz w:val="36"/>
          <w:szCs w:val="36"/>
        </w:rPr>
      </w:pPr>
      <w:r w:rsidRPr="004E3CF3">
        <w:rPr>
          <w:rFonts w:ascii="Bookman Old Style" w:hAnsi="Bookman Old Style"/>
          <w:b/>
          <w:sz w:val="36"/>
          <w:szCs w:val="36"/>
        </w:rPr>
        <w:t>Human Capital Resilience Project-P1700445</w:t>
      </w:r>
    </w:p>
    <w:p w14:paraId="63494844" w14:textId="77777777" w:rsidR="00E069CB" w:rsidRPr="004E3CF3" w:rsidRDefault="00E069CB" w:rsidP="00E069CB">
      <w:pPr>
        <w:jc w:val="center"/>
        <w:rPr>
          <w:rFonts w:ascii="Bookman Old Style" w:hAnsi="Bookman Old Style"/>
          <w:b/>
          <w:sz w:val="36"/>
          <w:szCs w:val="36"/>
        </w:rPr>
      </w:pPr>
    </w:p>
    <w:p w14:paraId="0D66444E" w14:textId="77777777" w:rsidR="00E069CB" w:rsidRPr="004E3CF3" w:rsidRDefault="00E069CB" w:rsidP="00E069CB">
      <w:pPr>
        <w:jc w:val="center"/>
        <w:rPr>
          <w:rFonts w:ascii="Bookman Old Style" w:hAnsi="Bookman Old Style"/>
          <w:b/>
          <w:color w:val="4472C4" w:themeColor="accent1"/>
          <w:sz w:val="36"/>
          <w:szCs w:val="36"/>
        </w:rPr>
      </w:pPr>
      <w:bookmarkStart w:id="0" w:name="_GoBack"/>
      <w:r w:rsidRPr="004E3CF3">
        <w:rPr>
          <w:rFonts w:ascii="Bookman Old Style" w:hAnsi="Bookman Old Style"/>
          <w:b/>
          <w:color w:val="4472C4" w:themeColor="accent1"/>
          <w:sz w:val="36"/>
          <w:szCs w:val="36"/>
        </w:rPr>
        <w:t>D</w:t>
      </w:r>
      <w:r>
        <w:rPr>
          <w:rFonts w:ascii="Bookman Old Style" w:hAnsi="Bookman Old Style"/>
          <w:b/>
          <w:color w:val="4472C4" w:themeColor="accent1"/>
          <w:sz w:val="36"/>
          <w:szCs w:val="36"/>
        </w:rPr>
        <w:t>RAFT</w:t>
      </w:r>
      <w:r w:rsidRPr="004E3CF3">
        <w:rPr>
          <w:rFonts w:ascii="Bookman Old Style" w:hAnsi="Bookman Old Style"/>
          <w:b/>
          <w:color w:val="4472C4" w:themeColor="accent1"/>
          <w:sz w:val="36"/>
          <w:szCs w:val="36"/>
        </w:rPr>
        <w:t xml:space="preserve"> ENVIRONMENTAL and SOCIAL </w:t>
      </w:r>
    </w:p>
    <w:p w14:paraId="27571185" w14:textId="77777777" w:rsidR="00E069CB" w:rsidRPr="004E3CF3" w:rsidRDefault="00E069CB" w:rsidP="00E069CB">
      <w:pPr>
        <w:jc w:val="center"/>
        <w:rPr>
          <w:rFonts w:ascii="Bookman Old Style" w:hAnsi="Bookman Old Style"/>
          <w:b/>
          <w:color w:val="4472C4" w:themeColor="accent1"/>
          <w:sz w:val="36"/>
          <w:szCs w:val="36"/>
        </w:rPr>
      </w:pPr>
      <w:r w:rsidRPr="004E3CF3">
        <w:rPr>
          <w:rFonts w:ascii="Bookman Old Style" w:hAnsi="Bookman Old Style"/>
          <w:b/>
          <w:color w:val="4472C4" w:themeColor="accent1"/>
          <w:sz w:val="36"/>
          <w:szCs w:val="36"/>
        </w:rPr>
        <w:t xml:space="preserve">COMMITMENT PLAN (ESCP) </w:t>
      </w:r>
    </w:p>
    <w:bookmarkEnd w:id="0"/>
    <w:p w14:paraId="5247E319" w14:textId="77777777" w:rsidR="00E069CB" w:rsidRPr="004E3CF3" w:rsidRDefault="00E069CB" w:rsidP="00E069CB">
      <w:pPr>
        <w:jc w:val="center"/>
        <w:rPr>
          <w:rFonts w:ascii="Bookman Old Style" w:hAnsi="Bookman Old Style"/>
          <w:b/>
          <w:color w:val="4472C4" w:themeColor="accent1"/>
          <w:sz w:val="36"/>
          <w:szCs w:val="36"/>
        </w:rPr>
      </w:pPr>
    </w:p>
    <w:p w14:paraId="2AE0105F" w14:textId="273D5C3A" w:rsidR="00E069CB" w:rsidRPr="004E3CF3" w:rsidRDefault="00FE2F34" w:rsidP="00E069CB">
      <w:pPr>
        <w:jc w:val="center"/>
        <w:rPr>
          <w:rFonts w:ascii="Bookman Old Style" w:hAnsi="Bookman Old Style"/>
          <w:b/>
          <w:sz w:val="36"/>
          <w:szCs w:val="36"/>
        </w:rPr>
      </w:pPr>
      <w:r>
        <w:rPr>
          <w:rFonts w:ascii="Bookman Old Style" w:hAnsi="Bookman Old Style"/>
          <w:b/>
          <w:sz w:val="36"/>
          <w:szCs w:val="36"/>
        </w:rPr>
        <w:t xml:space="preserve">November </w:t>
      </w:r>
      <w:r w:rsidR="00E069CB">
        <w:rPr>
          <w:rFonts w:ascii="Bookman Old Style" w:hAnsi="Bookman Old Style"/>
          <w:b/>
          <w:sz w:val="36"/>
          <w:szCs w:val="36"/>
        </w:rPr>
        <w:t>30,</w:t>
      </w:r>
      <w:r w:rsidR="00E069CB" w:rsidRPr="004E3CF3">
        <w:rPr>
          <w:rFonts w:ascii="Bookman Old Style" w:hAnsi="Bookman Old Style"/>
          <w:b/>
          <w:sz w:val="36"/>
          <w:szCs w:val="36"/>
        </w:rPr>
        <w:t xml:space="preserve"> 201</w:t>
      </w:r>
      <w:r w:rsidR="00E069CB">
        <w:rPr>
          <w:rFonts w:ascii="Bookman Old Style" w:hAnsi="Bookman Old Style"/>
          <w:b/>
          <w:sz w:val="36"/>
          <w:szCs w:val="36"/>
        </w:rPr>
        <w:t>9</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2CAE8316" w14:textId="29E5ED43" w:rsidR="00E069CB" w:rsidRPr="004E3CF3" w:rsidRDefault="00E069CB" w:rsidP="00E069CB">
      <w:pPr>
        <w:jc w:val="center"/>
        <w:rPr>
          <w:rFonts w:ascii="Bookman Old Style" w:hAnsi="Bookman Old Style"/>
          <w:b/>
          <w:sz w:val="24"/>
          <w:szCs w:val="24"/>
        </w:rPr>
      </w:pPr>
      <w:r w:rsidRPr="004E3CF3">
        <w:rPr>
          <w:rFonts w:ascii="Bookman Old Style" w:hAnsi="Bookman Old Style"/>
          <w:b/>
          <w:sz w:val="24"/>
          <w:szCs w:val="24"/>
        </w:rPr>
        <w:t xml:space="preserve">Saint Lucia </w:t>
      </w:r>
    </w:p>
    <w:p w14:paraId="3DE7BC15" w14:textId="77777777" w:rsidR="00E069CB" w:rsidRPr="004E3CF3" w:rsidRDefault="00E069CB" w:rsidP="00E069CB">
      <w:pPr>
        <w:jc w:val="center"/>
        <w:rPr>
          <w:rFonts w:ascii="Bookman Old Style" w:hAnsi="Bookman Old Style"/>
          <w:b/>
        </w:rPr>
      </w:pPr>
      <w:r w:rsidRPr="004E3CF3">
        <w:rPr>
          <w:rFonts w:ascii="Bookman Old Style" w:hAnsi="Bookman Old Style"/>
          <w:b/>
        </w:rPr>
        <w:t>Human Capital Resilience Project-P1700445</w:t>
      </w:r>
    </w:p>
    <w:p w14:paraId="7E274A57" w14:textId="77777777" w:rsidR="00E069CB" w:rsidRPr="003B2CB5" w:rsidRDefault="00E069CB" w:rsidP="00E069CB">
      <w:pPr>
        <w:rPr>
          <w:rFonts w:ascii="Calibri" w:hAnsi="Calibri"/>
          <w:i/>
          <w:iCs/>
        </w:rPr>
      </w:pPr>
    </w:p>
    <w:p w14:paraId="445BEE35" w14:textId="77777777" w:rsidR="00E069CB" w:rsidRPr="000A0AEB" w:rsidRDefault="00E069CB" w:rsidP="00E069CB">
      <w:pPr>
        <w:jc w:val="center"/>
        <w:rPr>
          <w:rFonts w:ascii="Calibri" w:hAnsi="Calibri"/>
          <w:b/>
          <w:iCs/>
        </w:rPr>
      </w:pPr>
      <w:r w:rsidRPr="000A0AEB">
        <w:rPr>
          <w:rFonts w:ascii="Calibri" w:hAnsi="Calibri"/>
          <w:b/>
          <w:iCs/>
        </w:rPr>
        <w:t>ENVIRONMENTAL AND SOCIAL COMMITMENT PLAN</w:t>
      </w:r>
    </w:p>
    <w:p w14:paraId="15CE31CF" w14:textId="77777777" w:rsidR="00E069CB" w:rsidRDefault="00E069CB" w:rsidP="00E069CB">
      <w:pPr>
        <w:jc w:val="center"/>
        <w:rPr>
          <w:rFonts w:ascii="Calibri" w:hAnsi="Calibri"/>
          <w:b/>
          <w:i/>
          <w:iCs/>
        </w:rPr>
      </w:pPr>
    </w:p>
    <w:p w14:paraId="2259A1C6" w14:textId="2F9D14C3" w:rsidR="00E069CB" w:rsidRPr="00CA3F3A" w:rsidRDefault="00E069CB" w:rsidP="00E069CB">
      <w:pPr>
        <w:pStyle w:val="ListParagraph"/>
        <w:numPr>
          <w:ilvl w:val="0"/>
          <w:numId w:val="16"/>
        </w:numPr>
        <w:rPr>
          <w:rFonts w:ascii="Calibri" w:hAnsi="Calibri"/>
        </w:rPr>
      </w:pPr>
      <w:r>
        <w:rPr>
          <w:rFonts w:ascii="Calibri" w:hAnsi="Calibri"/>
        </w:rPr>
        <w:t>Saint Lucia</w:t>
      </w:r>
      <w:r w:rsidRPr="008F1333">
        <w:rPr>
          <w:rFonts w:ascii="Calibri" w:hAnsi="Calibri"/>
        </w:rPr>
        <w:t xml:space="preserve"> </w:t>
      </w:r>
      <w:r w:rsidRPr="003B2CB5">
        <w:rPr>
          <w:rFonts w:ascii="Calibri" w:hAnsi="Calibri"/>
        </w:rPr>
        <w:t xml:space="preserve">is planning to </w:t>
      </w:r>
      <w:r>
        <w:rPr>
          <w:rFonts w:ascii="Calibri" w:hAnsi="Calibri"/>
        </w:rPr>
        <w:t>implement the Human Capital Resilience Project,</w:t>
      </w:r>
      <w:r w:rsidRPr="003B2CB5">
        <w:rPr>
          <w:rFonts w:ascii="Calibri" w:hAnsi="Calibri"/>
        </w:rPr>
        <w:t xml:space="preserve"> (the </w:t>
      </w:r>
      <w:r w:rsidRPr="003B2CB5">
        <w:rPr>
          <w:rFonts w:ascii="Calibri" w:hAnsi="Calibri"/>
          <w:b/>
          <w:i/>
        </w:rPr>
        <w:t>Project</w:t>
      </w:r>
      <w:r>
        <w:rPr>
          <w:rFonts w:ascii="Calibri" w:hAnsi="Calibri"/>
        </w:rPr>
        <w:t>)</w:t>
      </w:r>
      <w:r w:rsidRPr="003B2CB5">
        <w:rPr>
          <w:rFonts w:ascii="Calibri" w:hAnsi="Calibri"/>
        </w:rPr>
        <w:t xml:space="preserve">, with the </w:t>
      </w:r>
      <w:r w:rsidRPr="00CA3F3A">
        <w:rPr>
          <w:rFonts w:ascii="Calibri" w:hAnsi="Calibri"/>
        </w:rPr>
        <w:t xml:space="preserve">involvement of the following Ministries: </w:t>
      </w:r>
      <w:r w:rsidR="00151D2A">
        <w:rPr>
          <w:rFonts w:ascii="Calibri" w:hAnsi="Calibri"/>
        </w:rPr>
        <w:t>Ministry</w:t>
      </w:r>
      <w:r w:rsidRPr="00CA3F3A">
        <w:rPr>
          <w:rFonts w:ascii="Calibri" w:hAnsi="Calibri"/>
        </w:rPr>
        <w:t xml:space="preserve"> of Education, Innovation and Gender Relations</w:t>
      </w:r>
      <w:r w:rsidR="00C05BB3">
        <w:rPr>
          <w:rFonts w:ascii="Calibri" w:hAnsi="Calibri"/>
        </w:rPr>
        <w:t xml:space="preserve"> (hereinafter Ministry of Education)</w:t>
      </w:r>
      <w:r w:rsidRPr="00CA3F3A">
        <w:rPr>
          <w:rFonts w:ascii="Calibri" w:hAnsi="Calibri"/>
        </w:rPr>
        <w:t xml:space="preserve">, </w:t>
      </w:r>
      <w:r w:rsidR="00151D2A">
        <w:rPr>
          <w:rFonts w:ascii="Calibri" w:hAnsi="Calibri"/>
        </w:rPr>
        <w:t>Ministry</w:t>
      </w:r>
      <w:r w:rsidRPr="00CA3F3A">
        <w:rPr>
          <w:rFonts w:ascii="Calibri" w:hAnsi="Calibri"/>
        </w:rPr>
        <w:t xml:space="preserve"> of Equity, Social Justice, Empowerment and Human Services</w:t>
      </w:r>
      <w:r w:rsidR="00C05BB3">
        <w:rPr>
          <w:rFonts w:ascii="Calibri" w:hAnsi="Calibri"/>
        </w:rPr>
        <w:t xml:space="preserve"> (hereinafter Ministry of Equity)</w:t>
      </w:r>
      <w:r w:rsidRPr="00CA3F3A">
        <w:rPr>
          <w:rFonts w:ascii="Calibri" w:hAnsi="Calibri"/>
        </w:rPr>
        <w:t xml:space="preserve">, </w:t>
      </w:r>
      <w:r w:rsidR="00605B33">
        <w:rPr>
          <w:rFonts w:ascii="Calibri" w:hAnsi="Calibri"/>
        </w:rPr>
        <w:t>Ministry</w:t>
      </w:r>
      <w:r w:rsidRPr="00CA3F3A">
        <w:rPr>
          <w:rFonts w:ascii="Calibri" w:hAnsi="Calibri"/>
        </w:rPr>
        <w:t xml:space="preserve"> of </w:t>
      </w:r>
      <w:r w:rsidR="00CA3F3A" w:rsidRPr="00CA3F3A">
        <w:rPr>
          <w:rFonts w:ascii="Calibri" w:hAnsi="Calibri"/>
        </w:rPr>
        <w:t>Labor</w:t>
      </w:r>
      <w:r w:rsidRPr="00CA3F3A">
        <w:rPr>
          <w:rFonts w:ascii="Calibri" w:hAnsi="Calibri"/>
        </w:rPr>
        <w:t xml:space="preserve">, </w:t>
      </w:r>
      <w:r w:rsidR="00605B33">
        <w:rPr>
          <w:rFonts w:ascii="Calibri" w:hAnsi="Calibri"/>
        </w:rPr>
        <w:t xml:space="preserve">Ministry </w:t>
      </w:r>
      <w:r w:rsidRPr="00CA3F3A">
        <w:rPr>
          <w:rFonts w:ascii="Calibri" w:hAnsi="Calibri"/>
        </w:rPr>
        <w:t xml:space="preserve">of Economic Development, Transport and Civil Aviation and the </w:t>
      </w:r>
      <w:r w:rsidR="00605B33">
        <w:rPr>
          <w:rFonts w:ascii="Calibri" w:hAnsi="Calibri"/>
        </w:rPr>
        <w:t>Ministry</w:t>
      </w:r>
      <w:r w:rsidRPr="00CA3F3A">
        <w:rPr>
          <w:rFonts w:ascii="Calibri" w:hAnsi="Calibri"/>
        </w:rPr>
        <w:t xml:space="preserve"> of </w:t>
      </w:r>
      <w:r w:rsidR="004B23B2" w:rsidRPr="00CA3F3A">
        <w:rPr>
          <w:rFonts w:ascii="Calibri" w:hAnsi="Calibri"/>
        </w:rPr>
        <w:t>Finance. The</w:t>
      </w:r>
      <w:r w:rsidRPr="00CA3F3A">
        <w:rPr>
          <w:rFonts w:ascii="Calibri" w:hAnsi="Calibri"/>
        </w:rPr>
        <w:t xml:space="preserve"> </w:t>
      </w:r>
      <w:r w:rsidRPr="0059791D">
        <w:rPr>
          <w:rFonts w:ascii="Calibri" w:hAnsi="Calibri"/>
        </w:rPr>
        <w:t xml:space="preserve">International Development Association </w:t>
      </w:r>
      <w:r w:rsidR="0059791D">
        <w:rPr>
          <w:rFonts w:ascii="Calibri" w:hAnsi="Calibri"/>
        </w:rPr>
        <w:t>(</w:t>
      </w:r>
      <w:r w:rsidRPr="0059791D">
        <w:rPr>
          <w:rFonts w:ascii="Calibri" w:hAnsi="Calibri"/>
        </w:rPr>
        <w:t>hereinafter the Association</w:t>
      </w:r>
      <w:r w:rsidR="0059791D">
        <w:rPr>
          <w:rFonts w:ascii="Calibri" w:hAnsi="Calibri"/>
        </w:rPr>
        <w:t>)</w:t>
      </w:r>
      <w:r w:rsidRPr="00CA3F3A">
        <w:rPr>
          <w:rFonts w:ascii="Calibri" w:hAnsi="Calibri"/>
        </w:rPr>
        <w:t xml:space="preserve"> has agreed to provide financing for the Project. </w:t>
      </w:r>
    </w:p>
    <w:p w14:paraId="639FFF05" w14:textId="3A757407" w:rsidR="00E069CB" w:rsidRPr="00CA3F3A" w:rsidRDefault="00E069CB" w:rsidP="00E069CB">
      <w:pPr>
        <w:pStyle w:val="ListParagraph"/>
        <w:numPr>
          <w:ilvl w:val="0"/>
          <w:numId w:val="16"/>
        </w:numPr>
        <w:rPr>
          <w:rFonts w:ascii="Calibri" w:hAnsi="Calibri"/>
        </w:rPr>
      </w:pPr>
      <w:r w:rsidRPr="00CA3F3A">
        <w:rPr>
          <w:rFonts w:ascii="Calibri" w:hAnsi="Calibri"/>
        </w:rPr>
        <w:t>Saint Lucia will implement material measures and actions so that the Project is implemented in accordance with the World Bank Environmental and Social Standards (</w:t>
      </w:r>
      <w:r w:rsidRPr="00CA3F3A">
        <w:rPr>
          <w:rFonts w:ascii="Calibri" w:hAnsi="Calibri"/>
          <w:b/>
          <w:i/>
        </w:rPr>
        <w:t>ESSs</w:t>
      </w:r>
      <w:r w:rsidRPr="00CA3F3A">
        <w:rPr>
          <w:rFonts w:ascii="Calibri" w:hAnsi="Calibri"/>
        </w:rPr>
        <w:t>). This Environmental and Social Commitment Plan (</w:t>
      </w:r>
      <w:r w:rsidRPr="00CA3F3A">
        <w:rPr>
          <w:rFonts w:ascii="Calibri" w:hAnsi="Calibri"/>
          <w:b/>
          <w:i/>
        </w:rPr>
        <w:t>ESCP</w:t>
      </w:r>
      <w:r w:rsidRPr="00CA3F3A">
        <w:rPr>
          <w:rFonts w:ascii="Calibri" w:hAnsi="Calibri"/>
        </w:rPr>
        <w:t>) sets out the material measures and actions</w:t>
      </w:r>
      <w:r w:rsidR="0059791D">
        <w:rPr>
          <w:rFonts w:ascii="Calibri" w:hAnsi="Calibri"/>
        </w:rPr>
        <w:t>, any specific documents or plans, as well as the timing for each of these</w:t>
      </w:r>
      <w:r w:rsidRPr="00CA3F3A">
        <w:rPr>
          <w:rFonts w:ascii="Calibri" w:hAnsi="Calibri"/>
        </w:rPr>
        <w:t xml:space="preserve">. </w:t>
      </w:r>
    </w:p>
    <w:p w14:paraId="0C0757B5" w14:textId="20665262" w:rsidR="00E069CB" w:rsidRPr="00CA3F3A" w:rsidRDefault="00E069CB" w:rsidP="00E069CB">
      <w:pPr>
        <w:pStyle w:val="ListParagraph"/>
        <w:numPr>
          <w:ilvl w:val="0"/>
          <w:numId w:val="16"/>
        </w:numPr>
        <w:rPr>
          <w:rFonts w:ascii="Calibri" w:hAnsi="Calibri"/>
        </w:rPr>
      </w:pPr>
      <w:r w:rsidRPr="00CA3F3A">
        <w:rPr>
          <w:rFonts w:ascii="Calibri" w:hAnsi="Calibri"/>
        </w:rPr>
        <w:t xml:space="preserve">The ESCP </w:t>
      </w:r>
      <w:r w:rsidR="0059791D">
        <w:rPr>
          <w:rFonts w:ascii="Calibri" w:hAnsi="Calibri"/>
        </w:rPr>
        <w:t>will also comply</w:t>
      </w:r>
      <w:r w:rsidRPr="00CA3F3A">
        <w:rPr>
          <w:rFonts w:ascii="Calibri" w:hAnsi="Calibri"/>
        </w:rPr>
        <w:t xml:space="preserve"> with the provisions</w:t>
      </w:r>
      <w:r w:rsidR="0059791D">
        <w:rPr>
          <w:rFonts w:ascii="Calibri" w:hAnsi="Calibri"/>
        </w:rPr>
        <w:t xml:space="preserve"> of any other environmental and social document</w:t>
      </w:r>
      <w:r w:rsidR="007B7EE1">
        <w:rPr>
          <w:rFonts w:ascii="Calibri" w:hAnsi="Calibri"/>
        </w:rPr>
        <w:t>s</w:t>
      </w:r>
      <w:r w:rsidR="0059791D">
        <w:rPr>
          <w:rFonts w:ascii="Calibri" w:hAnsi="Calibri"/>
        </w:rPr>
        <w:t xml:space="preserve"> required under the ESSs and referred to in this ESCP</w:t>
      </w:r>
      <w:r w:rsidR="00233E98">
        <w:rPr>
          <w:rFonts w:ascii="Calibri" w:hAnsi="Calibri"/>
        </w:rPr>
        <w:t>,</w:t>
      </w:r>
      <w:r w:rsidR="0059791D">
        <w:rPr>
          <w:rFonts w:ascii="Calibri" w:hAnsi="Calibri"/>
        </w:rPr>
        <w:t xml:space="preserve"> such as</w:t>
      </w:r>
      <w:r w:rsidRPr="00CA3F3A">
        <w:rPr>
          <w:rFonts w:ascii="Calibri" w:hAnsi="Calibri"/>
        </w:rPr>
        <w:t xml:space="preserve"> the Social Assessment</w:t>
      </w:r>
      <w:r w:rsidR="00F26E89">
        <w:rPr>
          <w:rFonts w:ascii="Calibri" w:hAnsi="Calibri"/>
        </w:rPr>
        <w:t xml:space="preserve"> (SA)</w:t>
      </w:r>
      <w:r w:rsidRPr="00CA3F3A">
        <w:rPr>
          <w:rFonts w:ascii="Calibri" w:hAnsi="Calibri"/>
        </w:rPr>
        <w:t xml:space="preserve">, </w:t>
      </w:r>
      <w:r w:rsidR="00D07E46">
        <w:rPr>
          <w:rFonts w:ascii="Calibri" w:hAnsi="Calibri"/>
        </w:rPr>
        <w:t>t</w:t>
      </w:r>
      <w:r w:rsidRPr="00CA3F3A">
        <w:rPr>
          <w:rFonts w:ascii="Calibri" w:hAnsi="Calibri"/>
        </w:rPr>
        <w:t>he Stakeholder Engagement Plan</w:t>
      </w:r>
      <w:r w:rsidR="00F26E89">
        <w:rPr>
          <w:rFonts w:ascii="Calibri" w:hAnsi="Calibri"/>
        </w:rPr>
        <w:t xml:space="preserve"> (SEP)</w:t>
      </w:r>
      <w:r w:rsidRPr="00CA3F3A">
        <w:rPr>
          <w:rFonts w:ascii="Calibri" w:hAnsi="Calibri"/>
        </w:rPr>
        <w:t xml:space="preserve"> and the </w:t>
      </w:r>
      <w:r w:rsidR="00CA3F3A" w:rsidRPr="00CA3F3A">
        <w:rPr>
          <w:rFonts w:ascii="Calibri" w:hAnsi="Calibri"/>
        </w:rPr>
        <w:t>Labor</w:t>
      </w:r>
      <w:r w:rsidRPr="00CA3F3A">
        <w:rPr>
          <w:rFonts w:ascii="Calibri" w:hAnsi="Calibri"/>
        </w:rPr>
        <w:t xml:space="preserve"> Management Procedures</w:t>
      </w:r>
      <w:r w:rsidR="00F26E89">
        <w:rPr>
          <w:rFonts w:ascii="Calibri" w:hAnsi="Calibri"/>
        </w:rPr>
        <w:t xml:space="preserve"> (LMP)</w:t>
      </w:r>
      <w:r w:rsidRPr="00CA3F3A">
        <w:rPr>
          <w:rFonts w:ascii="Calibri" w:hAnsi="Calibri"/>
        </w:rPr>
        <w:t xml:space="preserve"> that have been developed for the Project. </w:t>
      </w:r>
    </w:p>
    <w:p w14:paraId="10BC7C05" w14:textId="78E9E083" w:rsidR="00E069CB" w:rsidRPr="00CA3F3A" w:rsidRDefault="00E069CB" w:rsidP="00E069CB">
      <w:pPr>
        <w:pStyle w:val="ListParagraph"/>
        <w:numPr>
          <w:ilvl w:val="0"/>
          <w:numId w:val="16"/>
        </w:numPr>
        <w:rPr>
          <w:rFonts w:ascii="Calibri" w:hAnsi="Calibri"/>
        </w:rPr>
      </w:pPr>
      <w:r w:rsidRPr="00CA3F3A">
        <w:rPr>
          <w:rFonts w:ascii="Calibri" w:hAnsi="Calibri"/>
        </w:rPr>
        <w:t>Saint Lucia is responsible for compliance with all requirements of the ESCP even when implementation of specific measures and actions is conducted by the Ministry referenced in 1. above.</w:t>
      </w:r>
      <w:r w:rsidRPr="00CA3F3A" w:rsidDel="007E4F9D">
        <w:rPr>
          <w:rFonts w:ascii="Calibri" w:hAnsi="Calibri"/>
        </w:rPr>
        <w:t xml:space="preserve"> </w:t>
      </w:r>
    </w:p>
    <w:p w14:paraId="29EE8750" w14:textId="3F570BAF" w:rsidR="00E069CB" w:rsidRPr="00CA3F3A" w:rsidRDefault="00E069CB" w:rsidP="00E069CB">
      <w:pPr>
        <w:pStyle w:val="ListParagraph"/>
        <w:numPr>
          <w:ilvl w:val="0"/>
          <w:numId w:val="16"/>
        </w:numPr>
        <w:rPr>
          <w:rFonts w:ascii="Calibri" w:hAnsi="Calibri"/>
        </w:rPr>
      </w:pPr>
      <w:r w:rsidRPr="00CA3F3A">
        <w:rPr>
          <w:rFonts w:ascii="Calibri" w:hAnsi="Calibri"/>
        </w:rPr>
        <w:t xml:space="preserve">Implementation of the material measures and actions set out in this ESCP will be monitored and reported to the </w:t>
      </w:r>
      <w:r w:rsidRPr="0059791D">
        <w:rPr>
          <w:rFonts w:ascii="Calibri" w:hAnsi="Calibri"/>
        </w:rPr>
        <w:t>Association by the Saint Lucia as required by the ESCP and the conditions of the legal agreement, and the Association</w:t>
      </w:r>
      <w:r w:rsidRPr="00CA3F3A">
        <w:rPr>
          <w:rFonts w:ascii="Calibri" w:hAnsi="Calibri"/>
        </w:rPr>
        <w:t xml:space="preserve"> will monitor and assess progress and completion of the material measures and actions throughout implementation of the Project. </w:t>
      </w:r>
    </w:p>
    <w:p w14:paraId="3EC9C415" w14:textId="697F0B9F" w:rsidR="00E069CB" w:rsidRPr="00CA3F3A" w:rsidRDefault="00E069CB" w:rsidP="00E069CB">
      <w:pPr>
        <w:pStyle w:val="ListParagraph"/>
        <w:numPr>
          <w:ilvl w:val="0"/>
          <w:numId w:val="16"/>
        </w:numPr>
        <w:rPr>
          <w:rFonts w:ascii="Calibri" w:hAnsi="Calibri"/>
        </w:rPr>
      </w:pPr>
      <w:r w:rsidRPr="00CA3F3A">
        <w:rPr>
          <w:rFonts w:ascii="Calibri" w:hAnsi="Calibri"/>
        </w:rPr>
        <w:t xml:space="preserve">As agreed by the </w:t>
      </w:r>
      <w:r w:rsidRPr="0059791D">
        <w:rPr>
          <w:rFonts w:ascii="Calibri" w:hAnsi="Calibri"/>
        </w:rPr>
        <w:t>Association</w:t>
      </w:r>
      <w:r w:rsidRPr="00CA3F3A">
        <w:rPr>
          <w:rFonts w:ascii="Calibri" w:hAnsi="Calibri"/>
        </w:rPr>
        <w:t xml:space="preserve"> and </w:t>
      </w:r>
      <w:bookmarkStart w:id="1" w:name="_Hlk526065035"/>
      <w:r w:rsidRPr="00CA3F3A">
        <w:rPr>
          <w:rFonts w:ascii="Calibri" w:hAnsi="Calibri"/>
        </w:rPr>
        <w:t>Saint Lucia</w:t>
      </w:r>
      <w:bookmarkEnd w:id="1"/>
      <w:r w:rsidRPr="00CA3F3A">
        <w:rPr>
          <w:rFonts w:ascii="Calibri" w:hAnsi="Calibri"/>
        </w:rPr>
        <w:t xml:space="preserve">, this ESCP may be revised from time to time during Project implementation, to reflect adaptive management of Project changes and unforeseen circumstances or in response to assessment of Project performance conducted under the ESCP itself. </w:t>
      </w:r>
      <w:r w:rsidRPr="00046AAE">
        <w:rPr>
          <w:rFonts w:ascii="Calibri" w:hAnsi="Calibri"/>
        </w:rPr>
        <w:t xml:space="preserve">In such circumstances, </w:t>
      </w:r>
      <w:r w:rsidR="0059791D" w:rsidRPr="00046AAE">
        <w:rPr>
          <w:rFonts w:ascii="Calibri" w:hAnsi="Calibri"/>
        </w:rPr>
        <w:t xml:space="preserve">Saint Lucia, through the </w:t>
      </w:r>
      <w:r w:rsidRPr="00046AAE">
        <w:rPr>
          <w:rFonts w:ascii="Calibri" w:hAnsi="Calibri"/>
        </w:rPr>
        <w:t>Minist</w:t>
      </w:r>
      <w:r w:rsidR="00151D2A" w:rsidRPr="00046AAE">
        <w:rPr>
          <w:rFonts w:ascii="Calibri" w:hAnsi="Calibri"/>
        </w:rPr>
        <w:t>er</w:t>
      </w:r>
      <w:r w:rsidRPr="00046AAE">
        <w:rPr>
          <w:rFonts w:ascii="Calibri" w:hAnsi="Calibri"/>
        </w:rPr>
        <w:t xml:space="preserve"> </w:t>
      </w:r>
      <w:r w:rsidR="00151D2A" w:rsidRPr="00046AAE">
        <w:rPr>
          <w:rFonts w:ascii="Calibri" w:hAnsi="Calibri"/>
        </w:rPr>
        <w:t>responsible for</w:t>
      </w:r>
      <w:r w:rsidRPr="00046AAE">
        <w:rPr>
          <w:rFonts w:ascii="Calibri" w:hAnsi="Calibri"/>
        </w:rPr>
        <w:t xml:space="preserve"> Education</w:t>
      </w:r>
      <w:r w:rsidR="00336BEA" w:rsidRPr="00046AAE">
        <w:rPr>
          <w:rFonts w:ascii="Calibri" w:hAnsi="Calibri"/>
        </w:rPr>
        <w:t xml:space="preserve"> </w:t>
      </w:r>
      <w:r w:rsidRPr="00046AAE">
        <w:rPr>
          <w:rFonts w:ascii="Calibri" w:hAnsi="Calibri"/>
        </w:rPr>
        <w:t>will agree to the changes with the</w:t>
      </w:r>
      <w:r w:rsidRPr="00CA3F3A">
        <w:rPr>
          <w:rFonts w:ascii="Calibri" w:hAnsi="Calibri"/>
        </w:rPr>
        <w:t xml:space="preserve"> </w:t>
      </w:r>
      <w:r w:rsidRPr="0059791D">
        <w:rPr>
          <w:rFonts w:ascii="Calibri" w:hAnsi="Calibri"/>
        </w:rPr>
        <w:t>Association</w:t>
      </w:r>
      <w:r w:rsidRPr="00CA3F3A">
        <w:rPr>
          <w:rFonts w:ascii="Calibri" w:hAnsi="Calibri"/>
        </w:rPr>
        <w:t xml:space="preserve"> and will update the ESCP to reflect such changes. Agreement on changes to the ESCP will be documented through the exchange of letters signed between the </w:t>
      </w:r>
      <w:r w:rsidRPr="0059791D">
        <w:rPr>
          <w:rFonts w:ascii="Calibri" w:hAnsi="Calibri"/>
        </w:rPr>
        <w:t>Association</w:t>
      </w:r>
      <w:r w:rsidRPr="00CA3F3A">
        <w:rPr>
          <w:rFonts w:ascii="Calibri" w:hAnsi="Calibri"/>
        </w:rPr>
        <w:t xml:space="preserve"> and the Minist</w:t>
      </w:r>
      <w:r w:rsidR="000139BB">
        <w:rPr>
          <w:rFonts w:ascii="Calibri" w:hAnsi="Calibri"/>
        </w:rPr>
        <w:t>er</w:t>
      </w:r>
      <w:r w:rsidRPr="00CA3F3A">
        <w:rPr>
          <w:rFonts w:ascii="Calibri" w:hAnsi="Calibri"/>
        </w:rPr>
        <w:t xml:space="preserve"> </w:t>
      </w:r>
      <w:r w:rsidR="000139BB">
        <w:rPr>
          <w:rFonts w:ascii="Calibri" w:hAnsi="Calibri"/>
        </w:rPr>
        <w:t>responsible for</w:t>
      </w:r>
      <w:r w:rsidRPr="00CA3F3A">
        <w:rPr>
          <w:rFonts w:ascii="Calibri" w:hAnsi="Calibri"/>
        </w:rPr>
        <w:t xml:space="preserve"> Education. The Ministry of Education will promptly disclose the updated ESCP. </w:t>
      </w:r>
    </w:p>
    <w:p w14:paraId="662AEE8E" w14:textId="07520857" w:rsidR="00C35CAD" w:rsidRPr="006147B2" w:rsidRDefault="00E069CB" w:rsidP="00210C8C">
      <w:pPr>
        <w:pStyle w:val="ListParagraph"/>
        <w:numPr>
          <w:ilvl w:val="0"/>
          <w:numId w:val="16"/>
        </w:numPr>
        <w:rPr>
          <w:rFonts w:ascii="Calibri" w:hAnsi="Calibri"/>
        </w:rPr>
        <w:sectPr w:rsidR="00C35CAD" w:rsidRPr="006147B2"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r w:rsidRPr="006147B2">
        <w:rPr>
          <w:rFonts w:ascii="Calibri" w:hAnsi="Calibri"/>
        </w:rPr>
        <w:t>Where Project changes, unforeseen circumstances, or Project performance result in changes to the risks and impacts during Project implementation, the Saint Lucia shall provide</w:t>
      </w:r>
      <w:r w:rsidRPr="006147B2">
        <w:rPr>
          <w:rFonts w:cstheme="minorHAnsi"/>
        </w:rPr>
        <w:t xml:space="preserve"> additional funds, if needed, to implement actions and measures to address such risks and impacts.</w:t>
      </w: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FA0A88" w14:paraId="09030FFB" w14:textId="77777777" w:rsidTr="00FA0A88">
        <w:trPr>
          <w:cantSplit/>
          <w:trHeight w:val="56"/>
          <w:tblHeader/>
        </w:trPr>
        <w:tc>
          <w:tcPr>
            <w:tcW w:w="6835" w:type="dxa"/>
            <w:gridSpan w:val="2"/>
            <w:tcBorders>
              <w:top w:val="single" w:sz="4" w:space="0" w:color="000000"/>
            </w:tcBorders>
            <w:shd w:val="clear" w:color="auto" w:fill="C5E0B3" w:themeFill="accent6" w:themeFillTint="66"/>
          </w:tcPr>
          <w:p w14:paraId="0C62ED1D" w14:textId="2200A29F" w:rsidR="00ED3D08" w:rsidRPr="00FA0A88" w:rsidRDefault="00C549B1" w:rsidP="005D394E">
            <w:pPr>
              <w:keepLines/>
              <w:widowControl w:val="0"/>
              <w:rPr>
                <w:rFonts w:cstheme="minorHAnsi"/>
                <w:b/>
                <w:sz w:val="20"/>
                <w:szCs w:val="20"/>
              </w:rPr>
            </w:pPr>
            <w:r w:rsidRPr="00FA0A88">
              <w:rPr>
                <w:rFonts w:cstheme="minorHAnsi"/>
                <w:b/>
                <w:sz w:val="20"/>
                <w:szCs w:val="20"/>
              </w:rPr>
              <w:lastRenderedPageBreak/>
              <w:t xml:space="preserve">MATERIAL MEASURES AND ACTIONS </w:t>
            </w:r>
            <w:r w:rsidR="00ED3D08" w:rsidRPr="00FA0A88">
              <w:rPr>
                <w:rFonts w:cstheme="minorHAnsi"/>
                <w:b/>
                <w:sz w:val="20"/>
                <w:szCs w:val="20"/>
              </w:rPr>
              <w:t xml:space="preserve"> </w:t>
            </w:r>
          </w:p>
        </w:tc>
        <w:tc>
          <w:tcPr>
            <w:tcW w:w="3780" w:type="dxa"/>
            <w:tcBorders>
              <w:top w:val="single" w:sz="4" w:space="0" w:color="000000"/>
            </w:tcBorders>
            <w:shd w:val="clear" w:color="auto" w:fill="C5E0B3" w:themeFill="accent6" w:themeFillTint="66"/>
          </w:tcPr>
          <w:p w14:paraId="0F9A1F85" w14:textId="150A8C5F" w:rsidR="00C549B1" w:rsidRPr="00FA0A88" w:rsidRDefault="00C549B1" w:rsidP="00BE6350">
            <w:pPr>
              <w:keepLines/>
              <w:widowControl w:val="0"/>
              <w:jc w:val="center"/>
              <w:rPr>
                <w:rFonts w:cstheme="minorHAnsi"/>
                <w:b/>
                <w:sz w:val="20"/>
                <w:szCs w:val="20"/>
              </w:rPr>
            </w:pPr>
            <w:r w:rsidRPr="00FA0A88">
              <w:rPr>
                <w:rFonts w:cstheme="minorHAnsi"/>
                <w:b/>
                <w:sz w:val="20"/>
                <w:szCs w:val="20"/>
              </w:rPr>
              <w:t>TIMEFRAME</w:t>
            </w:r>
          </w:p>
        </w:tc>
        <w:tc>
          <w:tcPr>
            <w:tcW w:w="3690" w:type="dxa"/>
            <w:tcBorders>
              <w:top w:val="single" w:sz="4" w:space="0" w:color="000000"/>
            </w:tcBorders>
            <w:shd w:val="clear" w:color="auto" w:fill="C5E0B3" w:themeFill="accent6" w:themeFillTint="66"/>
          </w:tcPr>
          <w:p w14:paraId="26B7F86D" w14:textId="323C09A4" w:rsidR="00ED3D08" w:rsidRPr="00FA0A88" w:rsidRDefault="00C549B1" w:rsidP="005D394E">
            <w:pPr>
              <w:keepLines/>
              <w:widowControl w:val="0"/>
              <w:rPr>
                <w:rFonts w:cstheme="minorHAnsi"/>
                <w:b/>
                <w:sz w:val="20"/>
                <w:szCs w:val="20"/>
              </w:rPr>
            </w:pPr>
            <w:r w:rsidRPr="00FA0A88">
              <w:rPr>
                <w:rFonts w:cstheme="minorHAnsi"/>
                <w:b/>
                <w:sz w:val="20"/>
                <w:szCs w:val="20"/>
              </w:rPr>
              <w:t>RESPONSIBIL</w:t>
            </w:r>
            <w:r w:rsidR="00304827" w:rsidRPr="00FA0A88">
              <w:rPr>
                <w:rFonts w:cstheme="minorHAnsi"/>
                <w:b/>
                <w:sz w:val="20"/>
                <w:szCs w:val="20"/>
              </w:rPr>
              <w:t xml:space="preserve">E </w:t>
            </w:r>
            <w:r w:rsidR="00914AFC" w:rsidRPr="00FA0A88">
              <w:rPr>
                <w:rFonts w:cstheme="minorHAnsi"/>
                <w:b/>
                <w:sz w:val="20"/>
                <w:szCs w:val="20"/>
              </w:rPr>
              <w:t>ENTITY</w:t>
            </w:r>
            <w:r w:rsidRPr="00FA0A88">
              <w:rPr>
                <w:rFonts w:cstheme="minorHAnsi"/>
                <w:b/>
                <w:sz w:val="20"/>
                <w:szCs w:val="20"/>
              </w:rPr>
              <w:t xml:space="preserve">/AUTHORITY </w:t>
            </w:r>
          </w:p>
        </w:tc>
      </w:tr>
      <w:tr w:rsidR="00B1244E" w:rsidRPr="00FA0A88"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502173" w:rsidRPr="00FA0A88" w14:paraId="0FBBB46F" w14:textId="77777777" w:rsidTr="00594521">
        <w:trPr>
          <w:cantSplit/>
          <w:trHeight w:val="20"/>
        </w:trPr>
        <w:tc>
          <w:tcPr>
            <w:tcW w:w="71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6120" w:type="dxa"/>
            <w:tcBorders>
              <w:bottom w:val="single" w:sz="4" w:space="0" w:color="auto"/>
            </w:tcBorders>
          </w:tcPr>
          <w:p w14:paraId="74ED3DC4" w14:textId="77777777" w:rsidR="00502173" w:rsidRPr="00FA0A88" w:rsidRDefault="00502173" w:rsidP="005D394E">
            <w:pPr>
              <w:keepLines/>
              <w:widowControl w:val="0"/>
              <w:rPr>
                <w:rFonts w:cstheme="minorHAnsi"/>
                <w:sz w:val="20"/>
                <w:szCs w:val="20"/>
              </w:rPr>
            </w:pPr>
            <w:r w:rsidRPr="00FA0A88">
              <w:rPr>
                <w:rFonts w:cstheme="minorHAnsi"/>
                <w:b/>
                <w:color w:val="4472C4" w:themeColor="accent1"/>
                <w:sz w:val="20"/>
                <w:szCs w:val="20"/>
              </w:rPr>
              <w:t>REGULAR REPORTING</w:t>
            </w:r>
            <w:r w:rsidRPr="00FA0A88">
              <w:rPr>
                <w:rFonts w:cstheme="minorHAnsi"/>
                <w:sz w:val="20"/>
                <w:szCs w:val="20"/>
              </w:rPr>
              <w:t xml:space="preserve"> </w:t>
            </w:r>
          </w:p>
          <w:p w14:paraId="47C9621B" w14:textId="0357B387" w:rsidR="00502173" w:rsidRPr="00FA0A88" w:rsidRDefault="00E069CB" w:rsidP="00E069CB">
            <w:pPr>
              <w:keepLines/>
              <w:widowControl w:val="0"/>
              <w:rPr>
                <w:rFonts w:cstheme="minorHAnsi"/>
                <w:sz w:val="20"/>
                <w:szCs w:val="20"/>
              </w:rPr>
            </w:pPr>
            <w:r>
              <w:rPr>
                <w:rFonts w:cstheme="minorHAnsi"/>
                <w:sz w:val="20"/>
                <w:szCs w:val="20"/>
              </w:rPr>
              <w:t xml:space="preserve">Prepare and submit to the </w:t>
            </w:r>
            <w:r w:rsidR="00502173" w:rsidRPr="00FA0A88">
              <w:rPr>
                <w:rFonts w:cstheme="minorHAnsi"/>
                <w:sz w:val="20"/>
                <w:szCs w:val="20"/>
              </w:rPr>
              <w:t>Association regular monitoring reports on the environmental, social, health and safety (ESHS) performance of the Project, including</w:t>
            </w:r>
            <w:r w:rsidR="00E74EFB" w:rsidRPr="00FA0A88">
              <w:rPr>
                <w:rFonts w:cstheme="minorHAnsi"/>
                <w:sz w:val="20"/>
                <w:szCs w:val="20"/>
              </w:rPr>
              <w:t xml:space="preserve"> but not limited to</w:t>
            </w:r>
            <w:r w:rsidR="0059791D">
              <w:rPr>
                <w:rFonts w:cstheme="minorHAnsi"/>
                <w:sz w:val="20"/>
                <w:szCs w:val="20"/>
              </w:rPr>
              <w:t>,</w:t>
            </w:r>
            <w:r w:rsidR="00502173" w:rsidRPr="00FA0A88">
              <w:rPr>
                <w:rFonts w:cstheme="minorHAnsi"/>
                <w:sz w:val="20"/>
                <w:szCs w:val="20"/>
              </w:rPr>
              <w:t xml:space="preserve"> the implementation of the ESCP, status of preparation and implementation of E</w:t>
            </w:r>
            <w:r w:rsidR="001A44BB" w:rsidRPr="00FA0A88">
              <w:rPr>
                <w:rFonts w:cstheme="minorHAnsi"/>
                <w:sz w:val="20"/>
                <w:szCs w:val="20"/>
              </w:rPr>
              <w:t>&amp;</w:t>
            </w:r>
            <w:r w:rsidR="00502173" w:rsidRPr="00FA0A88">
              <w:rPr>
                <w:rFonts w:cstheme="minorHAnsi"/>
                <w:sz w:val="20"/>
                <w:szCs w:val="20"/>
              </w:rPr>
              <w:t>S documents required under the ESCP, stakeholder engagement activities, functioning of the grievance mechanism(s).</w:t>
            </w:r>
          </w:p>
        </w:tc>
        <w:tc>
          <w:tcPr>
            <w:tcW w:w="3780" w:type="dxa"/>
            <w:tcBorders>
              <w:bottom w:val="single" w:sz="4" w:space="0" w:color="auto"/>
            </w:tcBorders>
          </w:tcPr>
          <w:p w14:paraId="6B34020D" w14:textId="568EFCF0" w:rsidR="00E069CB" w:rsidRPr="008012EB" w:rsidRDefault="0021040A" w:rsidP="00E069CB">
            <w:pPr>
              <w:rPr>
                <w:rFonts w:cstheme="minorHAnsi"/>
                <w:sz w:val="20"/>
                <w:szCs w:val="20"/>
              </w:rPr>
            </w:pPr>
            <w:r w:rsidRPr="008012EB">
              <w:rPr>
                <w:rFonts w:cstheme="minorHAnsi"/>
                <w:sz w:val="20"/>
                <w:szCs w:val="20"/>
              </w:rPr>
              <w:t xml:space="preserve">Bi-annual </w:t>
            </w:r>
            <w:r w:rsidR="00E069CB" w:rsidRPr="008012EB">
              <w:rPr>
                <w:rFonts w:cstheme="minorHAnsi"/>
                <w:sz w:val="20"/>
                <w:szCs w:val="20"/>
              </w:rPr>
              <w:t xml:space="preserve">(every </w:t>
            </w:r>
            <w:r w:rsidR="003F4EAC" w:rsidRPr="008012EB">
              <w:rPr>
                <w:rFonts w:cstheme="minorHAnsi"/>
                <w:sz w:val="20"/>
                <w:szCs w:val="20"/>
              </w:rPr>
              <w:t>6</w:t>
            </w:r>
            <w:r w:rsidR="00E069CB" w:rsidRPr="008012EB">
              <w:rPr>
                <w:rFonts w:cstheme="minorHAnsi"/>
                <w:sz w:val="20"/>
                <w:szCs w:val="20"/>
              </w:rPr>
              <w:t xml:space="preserve"> months) throughout Project implementation. </w:t>
            </w:r>
          </w:p>
          <w:p w14:paraId="19A80186" w14:textId="74F5BF2B" w:rsidR="00502173" w:rsidRPr="008012EB" w:rsidRDefault="00502173" w:rsidP="00E069CB">
            <w:pPr>
              <w:keepLines/>
              <w:widowControl w:val="0"/>
              <w:rPr>
                <w:rFonts w:cstheme="minorHAnsi"/>
                <w:sz w:val="20"/>
                <w:szCs w:val="20"/>
              </w:rPr>
            </w:pPr>
          </w:p>
        </w:tc>
        <w:tc>
          <w:tcPr>
            <w:tcW w:w="3690" w:type="dxa"/>
            <w:tcBorders>
              <w:bottom w:val="single" w:sz="4" w:space="0" w:color="auto"/>
            </w:tcBorders>
          </w:tcPr>
          <w:p w14:paraId="5D4F34D0" w14:textId="369C9B2D" w:rsidR="00502173" w:rsidRPr="008012EB" w:rsidRDefault="002E0374" w:rsidP="004E010D">
            <w:pPr>
              <w:rPr>
                <w:rFonts w:cstheme="minorHAnsi"/>
                <w:sz w:val="20"/>
                <w:szCs w:val="20"/>
              </w:rPr>
            </w:pPr>
            <w:r>
              <w:rPr>
                <w:rFonts w:cstheme="minorHAnsi"/>
                <w:sz w:val="20"/>
                <w:szCs w:val="20"/>
              </w:rPr>
              <w:t>Ministry</w:t>
            </w:r>
            <w:r w:rsidR="00E069CB" w:rsidRPr="008012EB">
              <w:rPr>
                <w:rFonts w:cstheme="minorHAnsi"/>
                <w:sz w:val="20"/>
                <w:szCs w:val="20"/>
              </w:rPr>
              <w:t xml:space="preserve"> of Education</w:t>
            </w:r>
            <w:r w:rsidR="004E010D">
              <w:rPr>
                <w:rFonts w:cstheme="minorHAnsi"/>
                <w:sz w:val="20"/>
                <w:szCs w:val="20"/>
              </w:rPr>
              <w:t>.</w:t>
            </w:r>
          </w:p>
        </w:tc>
      </w:tr>
      <w:tr w:rsidR="00502173" w:rsidRPr="00FA0A88" w14:paraId="60FD2891" w14:textId="77777777" w:rsidTr="00594521">
        <w:trPr>
          <w:cantSplit/>
          <w:trHeight w:val="20"/>
        </w:trPr>
        <w:tc>
          <w:tcPr>
            <w:tcW w:w="715" w:type="dxa"/>
            <w:tcBorders>
              <w:bottom w:val="single" w:sz="4" w:space="0" w:color="000000"/>
            </w:tcBorders>
          </w:tcPr>
          <w:p w14:paraId="2F05AFC3" w14:textId="47A1D861" w:rsidR="00502173" w:rsidRPr="00FA0A88" w:rsidRDefault="00502173" w:rsidP="005D394E">
            <w:pPr>
              <w:keepLines/>
              <w:widowControl w:val="0"/>
              <w:jc w:val="center"/>
              <w:rPr>
                <w:rFonts w:cstheme="minorHAnsi"/>
                <w:sz w:val="20"/>
                <w:szCs w:val="20"/>
              </w:rPr>
            </w:pPr>
            <w:r w:rsidRPr="00FA0A88">
              <w:rPr>
                <w:rFonts w:cstheme="minorHAnsi"/>
                <w:sz w:val="20"/>
                <w:szCs w:val="20"/>
              </w:rPr>
              <w:t>B</w:t>
            </w:r>
          </w:p>
        </w:tc>
        <w:tc>
          <w:tcPr>
            <w:tcW w:w="6120" w:type="dxa"/>
            <w:tcBorders>
              <w:bottom w:val="single" w:sz="4" w:space="0" w:color="000000"/>
            </w:tcBorders>
          </w:tcPr>
          <w:p w14:paraId="363B2A16" w14:textId="1B626543" w:rsidR="00E94EA7" w:rsidRPr="00FA0A88" w:rsidRDefault="00502173" w:rsidP="005D394E">
            <w:pPr>
              <w:pStyle w:val="ModelNrmlSingle"/>
              <w:keepLines/>
              <w:widowControl w:val="0"/>
              <w:spacing w:after="0"/>
              <w:ind w:firstLine="0"/>
              <w:jc w:val="left"/>
              <w:rPr>
                <w:rFonts w:asciiTheme="minorHAnsi" w:hAnsiTheme="minorHAnsi" w:cstheme="minorHAnsi"/>
                <w:bCs/>
                <w:color w:val="4472C4" w:themeColor="accent1"/>
                <w:sz w:val="20"/>
              </w:rPr>
            </w:pPr>
            <w:r w:rsidRPr="00FA0A88">
              <w:rPr>
                <w:rFonts w:asciiTheme="minorHAnsi" w:hAnsiTheme="minorHAnsi" w:cstheme="minorHAnsi"/>
                <w:b/>
                <w:bCs/>
                <w:color w:val="4472C4" w:themeColor="accent1"/>
                <w:sz w:val="20"/>
              </w:rPr>
              <w:t>INCIDENTS AND ACCIDENTS</w:t>
            </w:r>
            <w:r w:rsidRPr="00FA0A88">
              <w:rPr>
                <w:rFonts w:asciiTheme="minorHAnsi" w:hAnsiTheme="minorHAnsi" w:cstheme="minorHAnsi"/>
                <w:bCs/>
                <w:color w:val="4472C4" w:themeColor="accent1"/>
                <w:sz w:val="20"/>
              </w:rPr>
              <w:t xml:space="preserve"> </w:t>
            </w:r>
          </w:p>
          <w:p w14:paraId="0834907A" w14:textId="217D0727" w:rsidR="00502173" w:rsidRPr="00FA0A88" w:rsidRDefault="00502173" w:rsidP="00E069CB">
            <w:pPr>
              <w:pStyle w:val="ModelNrmlSingle"/>
              <w:keepLines/>
              <w:widowControl w:val="0"/>
              <w:spacing w:after="0"/>
              <w:ind w:firstLine="0"/>
              <w:jc w:val="left"/>
              <w:rPr>
                <w:rFonts w:asciiTheme="minorHAnsi" w:hAnsiTheme="minorHAnsi" w:cstheme="minorHAnsi"/>
                <w:sz w:val="20"/>
              </w:rPr>
            </w:pPr>
            <w:r w:rsidRPr="00FA0A88">
              <w:rPr>
                <w:rFonts w:asciiTheme="minorHAnsi" w:hAnsiTheme="minorHAnsi" w:cstheme="minorHAnsi"/>
                <w:bCs/>
                <w:sz w:val="20"/>
              </w:rPr>
              <w:t xml:space="preserve">Promptly notify the Association </w:t>
            </w:r>
            <w:r w:rsidR="00AF3D21" w:rsidRPr="00FA0A88">
              <w:rPr>
                <w:rFonts w:asciiTheme="minorHAnsi" w:hAnsiTheme="minorHAnsi" w:cstheme="minorHAnsi"/>
                <w:bCs/>
                <w:sz w:val="20"/>
              </w:rPr>
              <w:t xml:space="preserve">of </w:t>
            </w:r>
            <w:r w:rsidRPr="00FA0A88">
              <w:rPr>
                <w:rFonts w:asciiTheme="minorHAnsi" w:hAnsiTheme="minorHAnsi" w:cstheme="minorHAnsi"/>
                <w:bCs/>
                <w:sz w:val="20"/>
              </w:rPr>
              <w:t xml:space="preserve">any incident or accident related </w:t>
            </w:r>
            <w:r w:rsidR="00AF3D21" w:rsidRPr="00FA0A88">
              <w:rPr>
                <w:rFonts w:asciiTheme="minorHAnsi" w:hAnsiTheme="minorHAnsi" w:cstheme="minorHAnsi"/>
                <w:bCs/>
                <w:sz w:val="20"/>
              </w:rPr>
              <w:t xml:space="preserve">to </w:t>
            </w:r>
            <w:r w:rsidRPr="00FA0A88">
              <w:rPr>
                <w:rFonts w:asciiTheme="minorHAnsi" w:hAnsiTheme="minorHAnsi" w:cstheme="minorHAnsi"/>
                <w:bCs/>
                <w:sz w:val="20"/>
              </w:rPr>
              <w:t>the Project which has, or is likely to have,</w:t>
            </w:r>
            <w:r w:rsidRPr="00FA0A88">
              <w:rPr>
                <w:rFonts w:asciiTheme="minorHAnsi" w:hAnsiTheme="minorHAnsi" w:cstheme="minorHAnsi"/>
                <w:sz w:val="20"/>
              </w:rPr>
              <w:t xml:space="preserve"> a significant adverse effect on the environment, the affected communities, the public or workers</w:t>
            </w:r>
            <w:r w:rsidR="00F107EA">
              <w:rPr>
                <w:rFonts w:asciiTheme="minorHAnsi" w:hAnsiTheme="minorHAnsi" w:cstheme="minorHAnsi"/>
                <w:sz w:val="20"/>
              </w:rPr>
              <w:t xml:space="preserve"> </w:t>
            </w:r>
            <w:r w:rsidRPr="00FA0A88">
              <w:rPr>
                <w:rFonts w:asciiTheme="minorHAnsi" w:hAnsiTheme="minorHAnsi" w:cstheme="minorHAnsi"/>
                <w:sz w:val="20"/>
              </w:rPr>
              <w:t xml:space="preserve">Provide sufficient detail regarding the incident or accident, indicating immediate measures taken or that are planned to be taken to address it, and any information provided by any contractor and supervising entity, as appropriate. Subsequently, as per the </w:t>
            </w:r>
            <w:r w:rsidR="00CC16F4" w:rsidRPr="00FA0A88">
              <w:rPr>
                <w:rFonts w:asciiTheme="minorHAnsi" w:hAnsiTheme="minorHAnsi" w:cstheme="minorHAnsi"/>
                <w:sz w:val="20"/>
              </w:rPr>
              <w:t>Association</w:t>
            </w:r>
            <w:r w:rsidRPr="00FA0A88">
              <w:rPr>
                <w:rFonts w:asciiTheme="minorHAnsi" w:hAnsiTheme="minorHAnsi" w:cstheme="minorHAnsi"/>
                <w:sz w:val="20"/>
              </w:rPr>
              <w:t>’s request, prepare a</w:t>
            </w:r>
            <w:r w:rsidR="006E55EC" w:rsidRPr="00FA0A88">
              <w:rPr>
                <w:rFonts w:asciiTheme="minorHAnsi" w:hAnsiTheme="minorHAnsi" w:cstheme="minorHAnsi"/>
                <w:sz w:val="20"/>
              </w:rPr>
              <w:t xml:space="preserve"> </w:t>
            </w:r>
            <w:r w:rsidRPr="00FA0A88">
              <w:rPr>
                <w:rFonts w:asciiTheme="minorHAnsi" w:hAnsiTheme="minorHAnsi" w:cstheme="minorHAnsi"/>
                <w:sz w:val="20"/>
              </w:rPr>
              <w:t xml:space="preserve">report on the incident or accident and propose any measures to prevent its recurrence. </w:t>
            </w:r>
          </w:p>
        </w:tc>
        <w:tc>
          <w:tcPr>
            <w:tcW w:w="3780" w:type="dxa"/>
            <w:tcBorders>
              <w:bottom w:val="single" w:sz="4" w:space="0" w:color="000000"/>
            </w:tcBorders>
          </w:tcPr>
          <w:p w14:paraId="0E6F3307" w14:textId="4B268CCF" w:rsidR="00E069CB" w:rsidRPr="007058C8" w:rsidRDefault="00E069CB" w:rsidP="00E069CB">
            <w:pPr>
              <w:rPr>
                <w:rFonts w:eastAsia="Times New Roman" w:cstheme="minorHAnsi"/>
                <w:sz w:val="20"/>
                <w:szCs w:val="20"/>
              </w:rPr>
            </w:pPr>
            <w:r w:rsidRPr="007058C8">
              <w:rPr>
                <w:rFonts w:eastAsia="Times New Roman" w:cstheme="minorHAnsi"/>
                <w:sz w:val="20"/>
                <w:szCs w:val="20"/>
              </w:rPr>
              <w:t xml:space="preserve">Any incident or accident shall be notified to the Association within 72 hours after taking note of the incident or accident. Timing on the submission of </w:t>
            </w:r>
            <w:r w:rsidR="00BE6350">
              <w:rPr>
                <w:rFonts w:eastAsia="Times New Roman" w:cstheme="minorHAnsi"/>
                <w:sz w:val="20"/>
                <w:szCs w:val="20"/>
              </w:rPr>
              <w:t xml:space="preserve">any </w:t>
            </w:r>
            <w:r w:rsidRPr="007058C8">
              <w:rPr>
                <w:rFonts w:eastAsia="Times New Roman" w:cstheme="minorHAnsi"/>
                <w:sz w:val="20"/>
                <w:szCs w:val="20"/>
              </w:rPr>
              <w:t xml:space="preserve">subsequent report would be specified by the </w:t>
            </w:r>
            <w:r w:rsidR="00476B4D">
              <w:rPr>
                <w:rFonts w:eastAsia="Times New Roman" w:cstheme="minorHAnsi"/>
                <w:sz w:val="20"/>
                <w:szCs w:val="20"/>
              </w:rPr>
              <w:t>Association</w:t>
            </w:r>
            <w:r w:rsidRPr="007058C8">
              <w:rPr>
                <w:rFonts w:eastAsia="Times New Roman" w:cstheme="minorHAnsi"/>
                <w:sz w:val="20"/>
                <w:szCs w:val="20"/>
              </w:rPr>
              <w:t xml:space="preserve">. </w:t>
            </w:r>
          </w:p>
          <w:p w14:paraId="4077096F" w14:textId="3BA03D2D" w:rsidR="00502173" w:rsidRPr="007058C8" w:rsidRDefault="00502173" w:rsidP="005D394E">
            <w:pPr>
              <w:keepLines/>
              <w:widowControl w:val="0"/>
              <w:rPr>
                <w:rFonts w:eastAsia="Times New Roman" w:cstheme="minorHAnsi"/>
                <w:sz w:val="20"/>
                <w:szCs w:val="20"/>
              </w:rPr>
            </w:pPr>
          </w:p>
        </w:tc>
        <w:tc>
          <w:tcPr>
            <w:tcW w:w="3690" w:type="dxa"/>
            <w:tcBorders>
              <w:bottom w:val="single" w:sz="4" w:space="0" w:color="000000"/>
            </w:tcBorders>
          </w:tcPr>
          <w:p w14:paraId="0690B5B8" w14:textId="41B57A40" w:rsidR="00E069CB" w:rsidRPr="007058C8" w:rsidRDefault="002E0374" w:rsidP="00E069CB">
            <w:pPr>
              <w:rPr>
                <w:rFonts w:eastAsia="Times New Roman" w:cstheme="minorHAnsi"/>
                <w:sz w:val="20"/>
                <w:szCs w:val="20"/>
              </w:rPr>
            </w:pPr>
            <w:r>
              <w:rPr>
                <w:rFonts w:eastAsia="Times New Roman" w:cstheme="minorHAnsi"/>
                <w:sz w:val="20"/>
                <w:szCs w:val="20"/>
              </w:rPr>
              <w:t>Ministry</w:t>
            </w:r>
            <w:r w:rsidR="00E069CB" w:rsidRPr="007058C8">
              <w:rPr>
                <w:rFonts w:eastAsia="Times New Roman" w:cstheme="minorHAnsi"/>
                <w:sz w:val="20"/>
                <w:szCs w:val="20"/>
              </w:rPr>
              <w:t xml:space="preserve"> of Education</w:t>
            </w:r>
            <w:r w:rsidR="004E010D">
              <w:rPr>
                <w:rFonts w:eastAsia="Times New Roman" w:cstheme="minorHAnsi"/>
                <w:sz w:val="20"/>
                <w:szCs w:val="20"/>
              </w:rPr>
              <w:t>.</w:t>
            </w:r>
          </w:p>
          <w:p w14:paraId="31B1BE9E" w14:textId="7C211DAA" w:rsidR="00502173" w:rsidRPr="007058C8" w:rsidRDefault="00502173" w:rsidP="00E069CB">
            <w:pPr>
              <w:keepLines/>
              <w:widowControl w:val="0"/>
              <w:rPr>
                <w:rFonts w:eastAsia="Times New Roman" w:cstheme="minorHAnsi"/>
                <w:sz w:val="20"/>
                <w:szCs w:val="20"/>
              </w:rPr>
            </w:pPr>
          </w:p>
        </w:tc>
      </w:tr>
      <w:tr w:rsidR="00502173" w:rsidRPr="00FA0A88" w14:paraId="574F4D94" w14:textId="77777777" w:rsidTr="00594521">
        <w:trPr>
          <w:cantSplit/>
          <w:trHeight w:val="20"/>
        </w:trPr>
        <w:tc>
          <w:tcPr>
            <w:tcW w:w="14305" w:type="dxa"/>
            <w:gridSpan w:val="4"/>
            <w:tcBorders>
              <w:top w:val="single" w:sz="4" w:space="0" w:color="000000"/>
            </w:tcBorders>
            <w:shd w:val="clear" w:color="auto" w:fill="F4B083" w:themeFill="accent2" w:themeFillTint="99"/>
          </w:tcPr>
          <w:p w14:paraId="1B9C5400" w14:textId="2D37DD92" w:rsidR="00502173" w:rsidRPr="00FA0A88" w:rsidRDefault="00502173" w:rsidP="005D394E">
            <w:pPr>
              <w:keepLines/>
              <w:widowControl w:val="0"/>
              <w:rPr>
                <w:rFonts w:cstheme="minorHAnsi"/>
                <w:sz w:val="20"/>
                <w:szCs w:val="20"/>
              </w:rPr>
            </w:pPr>
            <w:r w:rsidRPr="00FA0A88">
              <w:rPr>
                <w:rFonts w:cstheme="minorHAnsi"/>
                <w:b/>
                <w:sz w:val="20"/>
                <w:szCs w:val="20"/>
              </w:rPr>
              <w:t>ESS 1:  ASSESSMENT AND MANAGEMENT OF ENVIRONMENTAL AND SOCIAL RISKS AND IMPACTS</w:t>
            </w:r>
          </w:p>
        </w:tc>
      </w:tr>
      <w:tr w:rsidR="00502173" w:rsidRPr="00FA0A88" w14:paraId="53FD2164" w14:textId="77777777" w:rsidTr="00594521">
        <w:trPr>
          <w:cantSplit/>
          <w:trHeight w:val="20"/>
        </w:trPr>
        <w:tc>
          <w:tcPr>
            <w:tcW w:w="715" w:type="dxa"/>
            <w:tcBorders>
              <w:top w:val="single" w:sz="4" w:space="0" w:color="000000"/>
            </w:tcBorders>
          </w:tcPr>
          <w:p w14:paraId="0D527BFF"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1.1</w:t>
            </w:r>
          </w:p>
        </w:tc>
        <w:tc>
          <w:tcPr>
            <w:tcW w:w="6120" w:type="dxa"/>
            <w:tcBorders>
              <w:top w:val="single" w:sz="4" w:space="0" w:color="000000"/>
            </w:tcBorders>
          </w:tcPr>
          <w:p w14:paraId="1582F3BD" w14:textId="77777777" w:rsidR="00BE6350" w:rsidRDefault="00502173" w:rsidP="00DA2042">
            <w:pPr>
              <w:keepLines/>
              <w:widowControl w:val="0"/>
              <w:rPr>
                <w:rFonts w:cstheme="minorHAnsi"/>
                <w:sz w:val="20"/>
                <w:szCs w:val="20"/>
              </w:rPr>
            </w:pPr>
            <w:r w:rsidRPr="00B53E15">
              <w:rPr>
                <w:rFonts w:eastAsia="Times New Roman" w:cstheme="minorHAnsi"/>
                <w:b/>
                <w:bCs/>
                <w:color w:val="4472C4" w:themeColor="accent1"/>
                <w:sz w:val="20"/>
                <w:szCs w:val="20"/>
              </w:rPr>
              <w:t>ORGANIZATIONAL STRUCTURE</w:t>
            </w:r>
            <w:r w:rsidR="00DA2042">
              <w:rPr>
                <w:rFonts w:cstheme="minorHAnsi"/>
                <w:sz w:val="20"/>
                <w:szCs w:val="20"/>
              </w:rPr>
              <w:t xml:space="preserve"> </w:t>
            </w:r>
          </w:p>
          <w:p w14:paraId="7D1FF8E4" w14:textId="2E0C4AC8" w:rsidR="00E069CB" w:rsidRPr="00DA2042" w:rsidRDefault="00CD40C0" w:rsidP="00DA2042">
            <w:pPr>
              <w:keepLines/>
              <w:widowControl w:val="0"/>
              <w:rPr>
                <w:rFonts w:cstheme="minorHAnsi"/>
                <w:sz w:val="20"/>
                <w:szCs w:val="20"/>
              </w:rPr>
            </w:pPr>
            <w:r>
              <w:rPr>
                <w:rFonts w:eastAsia="Times New Roman" w:cstheme="minorHAnsi"/>
                <w:sz w:val="20"/>
                <w:szCs w:val="20"/>
              </w:rPr>
              <w:t>The</w:t>
            </w:r>
            <w:r w:rsidRPr="00B53E15">
              <w:rPr>
                <w:rFonts w:eastAsia="Times New Roman" w:cstheme="minorHAnsi"/>
                <w:sz w:val="20"/>
                <w:szCs w:val="20"/>
              </w:rPr>
              <w:t xml:space="preserve"> </w:t>
            </w:r>
            <w:r w:rsidR="00E069CB" w:rsidRPr="00B53E15">
              <w:rPr>
                <w:rFonts w:eastAsia="Times New Roman" w:cstheme="minorHAnsi"/>
                <w:sz w:val="20"/>
                <w:szCs w:val="20"/>
              </w:rPr>
              <w:t xml:space="preserve"> PIU</w:t>
            </w:r>
            <w:r>
              <w:rPr>
                <w:rFonts w:eastAsia="Times New Roman" w:cstheme="minorHAnsi"/>
                <w:sz w:val="20"/>
                <w:szCs w:val="20"/>
              </w:rPr>
              <w:t xml:space="preserve"> to be established </w:t>
            </w:r>
            <w:r w:rsidR="00B53E15">
              <w:rPr>
                <w:rFonts w:eastAsia="Times New Roman" w:cstheme="minorHAnsi"/>
                <w:sz w:val="20"/>
                <w:szCs w:val="20"/>
              </w:rPr>
              <w:t xml:space="preserve">under the Department of Education </w:t>
            </w:r>
            <w:r w:rsidR="000F6FC5">
              <w:rPr>
                <w:rFonts w:eastAsia="Times New Roman" w:cstheme="minorHAnsi"/>
                <w:sz w:val="20"/>
                <w:szCs w:val="20"/>
              </w:rPr>
              <w:t xml:space="preserve">will include </w:t>
            </w:r>
            <w:r w:rsidR="002E1874" w:rsidRPr="00B53E15">
              <w:rPr>
                <w:rFonts w:eastAsia="Times New Roman" w:cstheme="minorHAnsi"/>
                <w:sz w:val="20"/>
                <w:szCs w:val="20"/>
              </w:rPr>
              <w:t xml:space="preserve">one (1) </w:t>
            </w:r>
            <w:r w:rsidR="00707DB6" w:rsidRPr="00B53E15">
              <w:rPr>
                <w:rFonts w:eastAsia="Times New Roman" w:cstheme="minorHAnsi"/>
                <w:sz w:val="20"/>
                <w:szCs w:val="20"/>
              </w:rPr>
              <w:t>Environmental and Social Specialist</w:t>
            </w:r>
            <w:r w:rsidR="000F6FC5">
              <w:rPr>
                <w:rFonts w:eastAsia="Times New Roman" w:cstheme="minorHAnsi"/>
                <w:sz w:val="20"/>
                <w:szCs w:val="20"/>
              </w:rPr>
              <w:t xml:space="preserve"> with qualifications and </w:t>
            </w:r>
            <w:r w:rsidR="00B53E15">
              <w:rPr>
                <w:rFonts w:eastAsia="Times New Roman" w:cstheme="minorHAnsi"/>
                <w:sz w:val="20"/>
                <w:szCs w:val="20"/>
              </w:rPr>
              <w:t>experience</w:t>
            </w:r>
            <w:r w:rsidR="000F6FC5">
              <w:rPr>
                <w:rFonts w:eastAsia="Times New Roman" w:cstheme="minorHAnsi"/>
                <w:sz w:val="20"/>
                <w:szCs w:val="20"/>
              </w:rPr>
              <w:t xml:space="preserve"> acceptable to the Association, </w:t>
            </w:r>
            <w:r w:rsidR="00B53E15">
              <w:rPr>
                <w:rFonts w:eastAsia="Times New Roman" w:cstheme="minorHAnsi"/>
                <w:sz w:val="20"/>
                <w:szCs w:val="20"/>
              </w:rPr>
              <w:t xml:space="preserve">to support management of the ESHS aspects of the Project. </w:t>
            </w:r>
            <w:r w:rsidR="00707DB6" w:rsidRPr="00B53E15">
              <w:rPr>
                <w:rFonts w:eastAsia="Times New Roman" w:cstheme="minorHAnsi"/>
                <w:sz w:val="20"/>
                <w:szCs w:val="20"/>
              </w:rPr>
              <w:t xml:space="preserve"> </w:t>
            </w:r>
            <w:r w:rsidR="000F6FC5">
              <w:rPr>
                <w:rFonts w:eastAsia="Times New Roman" w:cstheme="minorHAnsi"/>
                <w:sz w:val="20"/>
                <w:szCs w:val="20"/>
              </w:rPr>
              <w:t xml:space="preserve"> </w:t>
            </w:r>
          </w:p>
          <w:p w14:paraId="09F2428F" w14:textId="3B3736C5" w:rsidR="00B94B5D" w:rsidRPr="00FA0A88" w:rsidRDefault="00B94B5D" w:rsidP="002D4AA2">
            <w:pPr>
              <w:keepLines/>
              <w:widowControl w:val="0"/>
              <w:rPr>
                <w:rFonts w:cstheme="minorHAnsi"/>
                <w:sz w:val="20"/>
                <w:szCs w:val="20"/>
                <w:highlight w:val="yellow"/>
              </w:rPr>
            </w:pPr>
          </w:p>
        </w:tc>
        <w:tc>
          <w:tcPr>
            <w:tcW w:w="3780" w:type="dxa"/>
            <w:tcBorders>
              <w:top w:val="single" w:sz="4" w:space="0" w:color="000000"/>
            </w:tcBorders>
          </w:tcPr>
          <w:p w14:paraId="2DF01D26" w14:textId="403055EE" w:rsidR="00502173" w:rsidRPr="00FA0A88" w:rsidRDefault="00B53E15" w:rsidP="00D1206C">
            <w:pPr>
              <w:keepLines/>
              <w:widowControl w:val="0"/>
              <w:rPr>
                <w:rFonts w:cstheme="minorHAnsi"/>
                <w:i/>
                <w:sz w:val="20"/>
                <w:szCs w:val="20"/>
              </w:rPr>
            </w:pPr>
            <w:r>
              <w:rPr>
                <w:rFonts w:eastAsia="Times New Roman" w:cstheme="minorHAnsi"/>
                <w:sz w:val="20"/>
                <w:szCs w:val="20"/>
              </w:rPr>
              <w:t>E&amp;S Specialist</w:t>
            </w:r>
            <w:r w:rsidR="00D1206C" w:rsidRPr="00074E7B">
              <w:rPr>
                <w:rFonts w:eastAsia="Times New Roman" w:cstheme="minorHAnsi"/>
                <w:sz w:val="20"/>
                <w:szCs w:val="20"/>
              </w:rPr>
              <w:t xml:space="preserve"> </w:t>
            </w:r>
            <w:r w:rsidR="00E069CB" w:rsidRPr="00074E7B">
              <w:rPr>
                <w:rFonts w:eastAsia="Times New Roman" w:cstheme="minorHAnsi"/>
                <w:sz w:val="20"/>
                <w:szCs w:val="20"/>
              </w:rPr>
              <w:t xml:space="preserve">will be </w:t>
            </w:r>
            <w:r w:rsidR="00A1082E">
              <w:rPr>
                <w:rFonts w:eastAsia="Times New Roman" w:cstheme="minorHAnsi"/>
                <w:sz w:val="20"/>
                <w:szCs w:val="20"/>
              </w:rPr>
              <w:t xml:space="preserve">on board </w:t>
            </w:r>
            <w:r w:rsidR="00D1206C" w:rsidRPr="00074E7B">
              <w:rPr>
                <w:rFonts w:eastAsia="Times New Roman" w:cstheme="minorHAnsi"/>
                <w:sz w:val="20"/>
                <w:szCs w:val="20"/>
              </w:rPr>
              <w:t xml:space="preserve">within 3 months of </w:t>
            </w:r>
            <w:r w:rsidR="00BE6350">
              <w:rPr>
                <w:rFonts w:eastAsia="Times New Roman" w:cstheme="minorHAnsi"/>
                <w:sz w:val="20"/>
                <w:szCs w:val="20"/>
              </w:rPr>
              <w:t>P</w:t>
            </w:r>
            <w:r w:rsidR="00D1206C" w:rsidRPr="00074E7B">
              <w:rPr>
                <w:rFonts w:eastAsia="Times New Roman" w:cstheme="minorHAnsi"/>
                <w:sz w:val="20"/>
                <w:szCs w:val="20"/>
              </w:rPr>
              <w:t xml:space="preserve">roject effectiveness and </w:t>
            </w:r>
            <w:r w:rsidR="00BE6350">
              <w:rPr>
                <w:rFonts w:eastAsia="Times New Roman" w:cstheme="minorHAnsi"/>
                <w:sz w:val="20"/>
                <w:szCs w:val="20"/>
              </w:rPr>
              <w:t>maintained</w:t>
            </w:r>
            <w:r w:rsidR="00BE6350" w:rsidRPr="00074E7B">
              <w:rPr>
                <w:rFonts w:eastAsia="Times New Roman" w:cstheme="minorHAnsi"/>
                <w:sz w:val="20"/>
                <w:szCs w:val="20"/>
              </w:rPr>
              <w:t xml:space="preserve"> </w:t>
            </w:r>
            <w:r w:rsidR="00D1206C" w:rsidRPr="00074E7B">
              <w:rPr>
                <w:rFonts w:eastAsia="Times New Roman" w:cstheme="minorHAnsi"/>
                <w:sz w:val="20"/>
                <w:szCs w:val="20"/>
              </w:rPr>
              <w:t xml:space="preserve">throughout </w:t>
            </w:r>
            <w:r w:rsidR="00BE6350">
              <w:rPr>
                <w:rFonts w:eastAsia="Times New Roman" w:cstheme="minorHAnsi"/>
                <w:sz w:val="20"/>
                <w:szCs w:val="20"/>
              </w:rPr>
              <w:t>P</w:t>
            </w:r>
            <w:r w:rsidR="00D1206C" w:rsidRPr="00074E7B">
              <w:rPr>
                <w:rFonts w:eastAsia="Times New Roman" w:cstheme="minorHAnsi"/>
                <w:sz w:val="20"/>
                <w:szCs w:val="20"/>
              </w:rPr>
              <w:t>roject implementation</w:t>
            </w:r>
            <w:r w:rsidR="00D1206C">
              <w:rPr>
                <w:rFonts w:cstheme="minorHAnsi"/>
                <w:i/>
              </w:rPr>
              <w:t>.</w:t>
            </w:r>
            <w:r w:rsidR="00E069CB" w:rsidRPr="000561A4">
              <w:rPr>
                <w:rFonts w:cstheme="minorHAnsi"/>
                <w:i/>
              </w:rPr>
              <w:t xml:space="preserve"> </w:t>
            </w:r>
          </w:p>
        </w:tc>
        <w:tc>
          <w:tcPr>
            <w:tcW w:w="3690" w:type="dxa"/>
            <w:tcBorders>
              <w:top w:val="single" w:sz="4" w:space="0" w:color="000000"/>
            </w:tcBorders>
          </w:tcPr>
          <w:p w14:paraId="18446BFF" w14:textId="70311514" w:rsidR="00502173" w:rsidRDefault="002E0374" w:rsidP="005D394E">
            <w:pPr>
              <w:keepLines/>
              <w:widowControl w:val="0"/>
              <w:rPr>
                <w:rFonts w:cstheme="minorHAnsi"/>
                <w:sz w:val="20"/>
              </w:rPr>
            </w:pPr>
            <w:r>
              <w:rPr>
                <w:rFonts w:cstheme="minorHAnsi"/>
                <w:sz w:val="20"/>
              </w:rPr>
              <w:t>Ministry</w:t>
            </w:r>
            <w:r w:rsidR="00D1206C" w:rsidRPr="00B53E15">
              <w:rPr>
                <w:rFonts w:cstheme="minorHAnsi"/>
                <w:sz w:val="20"/>
              </w:rPr>
              <w:t xml:space="preserve"> of Education</w:t>
            </w:r>
          </w:p>
          <w:p w14:paraId="6F9B134B" w14:textId="4B0DEC5A" w:rsidR="00CD5BE1" w:rsidRPr="00D1206C" w:rsidRDefault="00CD5BE1" w:rsidP="005D394E">
            <w:pPr>
              <w:keepLines/>
              <w:widowControl w:val="0"/>
              <w:rPr>
                <w:rFonts w:cstheme="minorHAnsi"/>
              </w:rPr>
            </w:pPr>
            <w:r w:rsidRPr="00A8355B">
              <w:rPr>
                <w:rFonts w:cstheme="minorHAnsi"/>
                <w:sz w:val="20"/>
              </w:rPr>
              <w:t>Ministry of Equity</w:t>
            </w:r>
            <w:r>
              <w:rPr>
                <w:rFonts w:cstheme="minorHAnsi"/>
                <w:sz w:val="20"/>
              </w:rPr>
              <w:t xml:space="preserve"> </w:t>
            </w:r>
          </w:p>
        </w:tc>
      </w:tr>
      <w:tr w:rsidR="000D0ECC" w:rsidRPr="00FA0A88" w14:paraId="69D2CFD5" w14:textId="77777777" w:rsidTr="00594521">
        <w:trPr>
          <w:cantSplit/>
          <w:trHeight w:val="20"/>
        </w:trPr>
        <w:tc>
          <w:tcPr>
            <w:tcW w:w="715" w:type="dxa"/>
          </w:tcPr>
          <w:p w14:paraId="30F6E72D" w14:textId="77777777" w:rsidR="000D0ECC" w:rsidRPr="00FA0A88" w:rsidRDefault="000D0ECC" w:rsidP="005D394E">
            <w:pPr>
              <w:keepLines/>
              <w:widowControl w:val="0"/>
              <w:jc w:val="center"/>
              <w:rPr>
                <w:rFonts w:cstheme="minorHAnsi"/>
                <w:sz w:val="20"/>
                <w:szCs w:val="20"/>
              </w:rPr>
            </w:pPr>
            <w:r w:rsidRPr="00FA0A88">
              <w:rPr>
                <w:rFonts w:cstheme="minorHAnsi"/>
                <w:sz w:val="20"/>
                <w:szCs w:val="20"/>
              </w:rPr>
              <w:t>1.2</w:t>
            </w:r>
          </w:p>
        </w:tc>
        <w:tc>
          <w:tcPr>
            <w:tcW w:w="6120" w:type="dxa"/>
          </w:tcPr>
          <w:p w14:paraId="7FDAA1F5" w14:textId="6F8C8FB6" w:rsidR="000D0ECC" w:rsidRPr="00C2719D" w:rsidRDefault="000D0ECC" w:rsidP="005D394E">
            <w:pPr>
              <w:keepLines/>
              <w:widowControl w:val="0"/>
              <w:rPr>
                <w:rFonts w:eastAsia="Times New Roman" w:cstheme="minorHAnsi"/>
                <w:b/>
                <w:bCs/>
                <w:color w:val="4472C4" w:themeColor="accent1"/>
                <w:sz w:val="20"/>
                <w:szCs w:val="20"/>
              </w:rPr>
            </w:pPr>
            <w:r w:rsidRPr="00C2719D">
              <w:rPr>
                <w:rFonts w:eastAsia="Times New Roman" w:cstheme="minorHAnsi"/>
                <w:b/>
                <w:bCs/>
                <w:color w:val="4472C4" w:themeColor="accent1"/>
                <w:sz w:val="20"/>
                <w:szCs w:val="20"/>
              </w:rPr>
              <w:t>SOCIAL ASSESSMENT</w:t>
            </w:r>
          </w:p>
          <w:p w14:paraId="0B0F67C4" w14:textId="7865D645" w:rsidR="000D0ECC" w:rsidRPr="00FA0A88" w:rsidRDefault="00B53E15" w:rsidP="000D0ECC">
            <w:pPr>
              <w:keepLines/>
              <w:widowControl w:val="0"/>
              <w:rPr>
                <w:rFonts w:cstheme="minorHAnsi"/>
                <w:sz w:val="20"/>
                <w:szCs w:val="20"/>
              </w:rPr>
            </w:pPr>
            <w:r>
              <w:rPr>
                <w:rFonts w:cstheme="minorHAnsi"/>
                <w:sz w:val="20"/>
                <w:szCs w:val="20"/>
              </w:rPr>
              <w:t>I</w:t>
            </w:r>
            <w:r w:rsidR="000D0ECC" w:rsidRPr="00FA0A88">
              <w:rPr>
                <w:rFonts w:cstheme="minorHAnsi"/>
                <w:sz w:val="20"/>
                <w:szCs w:val="20"/>
              </w:rPr>
              <w:t xml:space="preserve">mplement </w:t>
            </w:r>
            <w:r>
              <w:rPr>
                <w:rFonts w:cstheme="minorHAnsi"/>
                <w:sz w:val="20"/>
                <w:szCs w:val="20"/>
              </w:rPr>
              <w:t xml:space="preserve">the measures contained in the </w:t>
            </w:r>
            <w:r w:rsidR="000D0ECC" w:rsidRPr="00FA0A88">
              <w:rPr>
                <w:rFonts w:cstheme="minorHAnsi"/>
                <w:sz w:val="20"/>
                <w:szCs w:val="20"/>
              </w:rPr>
              <w:t>Social Assessment</w:t>
            </w:r>
            <w:r w:rsidR="001D57CC">
              <w:rPr>
                <w:rFonts w:cstheme="minorHAnsi"/>
                <w:sz w:val="20"/>
                <w:szCs w:val="20"/>
              </w:rPr>
              <w:t xml:space="preserve"> (SA)</w:t>
            </w:r>
            <w:r w:rsidR="000D0ECC" w:rsidRPr="00FA0A88">
              <w:rPr>
                <w:rFonts w:cstheme="minorHAnsi"/>
                <w:sz w:val="20"/>
                <w:szCs w:val="20"/>
              </w:rPr>
              <w:t xml:space="preserve"> prepared for the Project, in a</w:t>
            </w:r>
            <w:r w:rsidR="000D0ECC">
              <w:rPr>
                <w:rFonts w:cstheme="minorHAnsi"/>
                <w:sz w:val="20"/>
                <w:szCs w:val="20"/>
              </w:rPr>
              <w:t xml:space="preserve"> manner acceptable to the </w:t>
            </w:r>
            <w:r w:rsidR="000D0ECC" w:rsidRPr="00FA0A88">
              <w:rPr>
                <w:rFonts w:cstheme="minorHAnsi"/>
                <w:sz w:val="20"/>
                <w:szCs w:val="20"/>
              </w:rPr>
              <w:t>Association.</w:t>
            </w:r>
          </w:p>
        </w:tc>
        <w:tc>
          <w:tcPr>
            <w:tcW w:w="3780" w:type="dxa"/>
          </w:tcPr>
          <w:p w14:paraId="690C8971" w14:textId="385FB811" w:rsidR="000D0ECC" w:rsidRPr="00BB1721" w:rsidRDefault="00483B53" w:rsidP="005D394E">
            <w:pPr>
              <w:keepLines/>
              <w:widowControl w:val="0"/>
              <w:rPr>
                <w:rFonts w:eastAsia="Times New Roman" w:cstheme="minorHAnsi"/>
                <w:color w:val="FF0000"/>
                <w:sz w:val="20"/>
                <w:szCs w:val="20"/>
              </w:rPr>
            </w:pPr>
            <w:r>
              <w:rPr>
                <w:rFonts w:eastAsia="Times New Roman" w:cstheme="minorHAnsi"/>
                <w:sz w:val="20"/>
                <w:szCs w:val="20"/>
              </w:rPr>
              <w:t xml:space="preserve">Draft </w:t>
            </w:r>
            <w:r w:rsidR="00E45793">
              <w:rPr>
                <w:rFonts w:eastAsia="Times New Roman" w:cstheme="minorHAnsi"/>
                <w:sz w:val="20"/>
                <w:szCs w:val="20"/>
              </w:rPr>
              <w:t>SA has already been prepared</w:t>
            </w:r>
            <w:r w:rsidR="003426AA">
              <w:rPr>
                <w:rFonts w:eastAsia="Times New Roman" w:cstheme="minorHAnsi"/>
                <w:sz w:val="20"/>
                <w:szCs w:val="20"/>
              </w:rPr>
              <w:t xml:space="preserve"> (Oct 30)</w:t>
            </w:r>
            <w:r w:rsidR="00071A2C">
              <w:rPr>
                <w:rFonts w:eastAsia="Times New Roman" w:cstheme="minorHAnsi"/>
                <w:sz w:val="20"/>
                <w:szCs w:val="20"/>
              </w:rPr>
              <w:t xml:space="preserve">, </w:t>
            </w:r>
            <w:r w:rsidR="00071A2C" w:rsidRPr="00BB1721">
              <w:rPr>
                <w:rFonts w:eastAsia="Times New Roman" w:cstheme="minorHAnsi"/>
                <w:sz w:val="20"/>
                <w:szCs w:val="20"/>
              </w:rPr>
              <w:t xml:space="preserve">and will be </w:t>
            </w:r>
            <w:r w:rsidR="00AB2A3C">
              <w:rPr>
                <w:rFonts w:eastAsia="Times New Roman" w:cstheme="minorHAnsi"/>
                <w:sz w:val="20"/>
                <w:szCs w:val="20"/>
              </w:rPr>
              <w:t xml:space="preserve">finalized and </w:t>
            </w:r>
            <w:r w:rsidR="00071A2C" w:rsidRPr="00BB1721">
              <w:rPr>
                <w:rFonts w:eastAsia="Times New Roman" w:cstheme="minorHAnsi"/>
                <w:sz w:val="20"/>
                <w:szCs w:val="20"/>
              </w:rPr>
              <w:t xml:space="preserve">disclosed in external websites </w:t>
            </w:r>
            <w:r w:rsidR="005E2984" w:rsidRPr="00BB1721">
              <w:rPr>
                <w:rFonts w:eastAsia="Times New Roman" w:cstheme="minorHAnsi"/>
                <w:sz w:val="20"/>
                <w:szCs w:val="20"/>
              </w:rPr>
              <w:t xml:space="preserve">by  </w:t>
            </w:r>
            <w:r w:rsidR="0045314C">
              <w:rPr>
                <w:rFonts w:eastAsia="Times New Roman" w:cstheme="minorHAnsi"/>
                <w:sz w:val="20"/>
                <w:szCs w:val="20"/>
              </w:rPr>
              <w:t>December 12</w:t>
            </w:r>
            <w:r w:rsidR="00AB2A3C">
              <w:rPr>
                <w:rFonts w:eastAsia="Times New Roman" w:cstheme="minorHAnsi"/>
                <w:sz w:val="20"/>
                <w:szCs w:val="20"/>
              </w:rPr>
              <w:t>, 2019</w:t>
            </w:r>
            <w:r w:rsidR="005E2984" w:rsidRPr="00BB1721">
              <w:rPr>
                <w:rFonts w:eastAsia="Times New Roman" w:cstheme="minorHAnsi"/>
                <w:sz w:val="20"/>
                <w:szCs w:val="20"/>
              </w:rPr>
              <w:t xml:space="preserve">. </w:t>
            </w:r>
            <w:r w:rsidR="000D0ECC" w:rsidRPr="00F3398E">
              <w:rPr>
                <w:rFonts w:eastAsia="Times New Roman" w:cstheme="minorHAnsi"/>
                <w:sz w:val="20"/>
                <w:szCs w:val="20"/>
              </w:rPr>
              <w:t xml:space="preserve">Identified measures contained in the </w:t>
            </w:r>
            <w:r w:rsidR="00B53E15">
              <w:rPr>
                <w:rFonts w:eastAsia="Times New Roman" w:cstheme="minorHAnsi"/>
                <w:sz w:val="20"/>
                <w:szCs w:val="20"/>
              </w:rPr>
              <w:t>Social Assessment</w:t>
            </w:r>
            <w:r w:rsidR="000D0ECC" w:rsidRPr="00F3398E">
              <w:rPr>
                <w:rFonts w:eastAsia="Times New Roman" w:cstheme="minorHAnsi"/>
                <w:sz w:val="20"/>
                <w:szCs w:val="20"/>
              </w:rPr>
              <w:t xml:space="preserve"> will be </w:t>
            </w:r>
            <w:r w:rsidR="002B4D22">
              <w:rPr>
                <w:rFonts w:eastAsia="Times New Roman" w:cstheme="minorHAnsi"/>
                <w:sz w:val="20"/>
                <w:szCs w:val="20"/>
              </w:rPr>
              <w:t>carried out</w:t>
            </w:r>
            <w:r w:rsidR="000D0ECC" w:rsidRPr="00F3398E">
              <w:rPr>
                <w:rFonts w:eastAsia="Times New Roman" w:cstheme="minorHAnsi"/>
                <w:sz w:val="20"/>
                <w:szCs w:val="20"/>
              </w:rPr>
              <w:t xml:space="preserve"> throughout the Project implementation.</w:t>
            </w:r>
          </w:p>
        </w:tc>
        <w:tc>
          <w:tcPr>
            <w:tcW w:w="3690" w:type="dxa"/>
          </w:tcPr>
          <w:p w14:paraId="21019995" w14:textId="1B9A9EAF" w:rsidR="000D0ECC" w:rsidRPr="00516511" w:rsidRDefault="002B4D22" w:rsidP="005D394E">
            <w:pPr>
              <w:keepLines/>
              <w:widowControl w:val="0"/>
              <w:rPr>
                <w:rFonts w:cstheme="minorHAnsi"/>
                <w:sz w:val="20"/>
                <w:szCs w:val="20"/>
              </w:rPr>
            </w:pPr>
            <w:r w:rsidRPr="00516511">
              <w:rPr>
                <w:rFonts w:cstheme="minorHAnsi"/>
                <w:sz w:val="20"/>
                <w:szCs w:val="20"/>
              </w:rPr>
              <w:t>Ministry</w:t>
            </w:r>
            <w:r w:rsidR="000D0ECC" w:rsidRPr="00516511">
              <w:rPr>
                <w:rFonts w:cstheme="minorHAnsi"/>
                <w:sz w:val="20"/>
                <w:szCs w:val="20"/>
              </w:rPr>
              <w:t xml:space="preserve"> of Education</w:t>
            </w:r>
            <w:r w:rsidR="004E010D">
              <w:rPr>
                <w:rFonts w:cstheme="minorHAnsi"/>
                <w:sz w:val="20"/>
                <w:szCs w:val="20"/>
              </w:rPr>
              <w:t>.</w:t>
            </w:r>
          </w:p>
        </w:tc>
      </w:tr>
      <w:tr w:rsidR="00355083" w:rsidRPr="00FA0A88" w14:paraId="29CE3F68" w14:textId="77777777" w:rsidTr="00594521">
        <w:trPr>
          <w:cantSplit/>
          <w:trHeight w:val="20"/>
        </w:trPr>
        <w:tc>
          <w:tcPr>
            <w:tcW w:w="715" w:type="dxa"/>
          </w:tcPr>
          <w:p w14:paraId="3645540A" w14:textId="1AEC9A67" w:rsidR="00355083" w:rsidRPr="00FA0A88" w:rsidRDefault="00355083" w:rsidP="005D394E">
            <w:pPr>
              <w:keepLines/>
              <w:widowControl w:val="0"/>
              <w:jc w:val="center"/>
              <w:rPr>
                <w:rFonts w:cstheme="minorHAnsi"/>
                <w:sz w:val="20"/>
                <w:szCs w:val="20"/>
              </w:rPr>
            </w:pPr>
            <w:r>
              <w:rPr>
                <w:rFonts w:cstheme="minorHAnsi"/>
                <w:sz w:val="20"/>
                <w:szCs w:val="20"/>
              </w:rPr>
              <w:lastRenderedPageBreak/>
              <w:t>1.3.</w:t>
            </w:r>
          </w:p>
        </w:tc>
        <w:tc>
          <w:tcPr>
            <w:tcW w:w="6120" w:type="dxa"/>
          </w:tcPr>
          <w:p w14:paraId="6D0B1FDA" w14:textId="1D739E8D" w:rsidR="00355083" w:rsidRPr="00355083" w:rsidRDefault="00355083" w:rsidP="00355083">
            <w:pPr>
              <w:keepLines/>
              <w:widowControl w:val="0"/>
              <w:rPr>
                <w:rFonts w:eastAsia="Times New Roman" w:cstheme="minorHAnsi"/>
                <w:b/>
                <w:bCs/>
                <w:color w:val="4472C4" w:themeColor="accent1"/>
                <w:sz w:val="20"/>
                <w:szCs w:val="20"/>
              </w:rPr>
            </w:pPr>
            <w:r w:rsidRPr="00355083">
              <w:rPr>
                <w:rFonts w:eastAsia="Times New Roman" w:cstheme="minorHAnsi"/>
                <w:b/>
                <w:bCs/>
                <w:color w:val="4472C4" w:themeColor="accent1"/>
                <w:sz w:val="20"/>
                <w:szCs w:val="20"/>
              </w:rPr>
              <w:t>TECHNICAL ASSISTANCE</w:t>
            </w:r>
            <w:r w:rsidR="0078442D">
              <w:rPr>
                <w:rFonts w:eastAsia="Times New Roman" w:cstheme="minorHAnsi"/>
                <w:b/>
                <w:bCs/>
                <w:color w:val="4472C4" w:themeColor="accent1"/>
                <w:sz w:val="20"/>
                <w:szCs w:val="20"/>
              </w:rPr>
              <w:t xml:space="preserve"> to be contract by </w:t>
            </w:r>
            <w:r w:rsidR="002539B2">
              <w:rPr>
                <w:rFonts w:eastAsia="Times New Roman" w:cstheme="minorHAnsi"/>
                <w:b/>
                <w:bCs/>
                <w:color w:val="4472C4" w:themeColor="accent1"/>
                <w:sz w:val="20"/>
                <w:szCs w:val="20"/>
              </w:rPr>
              <w:t>the PIU</w:t>
            </w:r>
            <w:r w:rsidR="0078442D">
              <w:rPr>
                <w:rFonts w:eastAsia="Times New Roman" w:cstheme="minorHAnsi"/>
                <w:b/>
                <w:bCs/>
                <w:color w:val="4472C4" w:themeColor="accent1"/>
                <w:sz w:val="20"/>
                <w:szCs w:val="20"/>
              </w:rPr>
              <w:t>.</w:t>
            </w:r>
          </w:p>
          <w:p w14:paraId="1CB5C8F2" w14:textId="5BD522E5" w:rsidR="00355083" w:rsidRPr="00355083" w:rsidRDefault="00355083" w:rsidP="00355083">
            <w:pPr>
              <w:rPr>
                <w:rFonts w:ascii="Times New Roman" w:hAnsi="Times New Roman" w:cs="Times New Roman"/>
                <w:sz w:val="20"/>
                <w:szCs w:val="20"/>
              </w:rPr>
            </w:pPr>
            <w:r w:rsidRPr="00B24C14">
              <w:rPr>
                <w:rFonts w:cstheme="minorHAnsi"/>
                <w:sz w:val="20"/>
                <w:szCs w:val="20"/>
              </w:rPr>
              <w:t>Ensure that</w:t>
            </w:r>
            <w:r w:rsidR="005F6F48" w:rsidRPr="00B24C14">
              <w:rPr>
                <w:rFonts w:cstheme="minorHAnsi"/>
                <w:sz w:val="20"/>
                <w:szCs w:val="20"/>
              </w:rPr>
              <w:t xml:space="preserve"> the</w:t>
            </w:r>
            <w:r w:rsidRPr="00B24C14">
              <w:rPr>
                <w:rFonts w:cstheme="minorHAnsi"/>
                <w:sz w:val="20"/>
                <w:szCs w:val="20"/>
              </w:rPr>
              <w:t xml:space="preserve"> terms of reference for studies, capacity building, training and any technical assistance activities carried out under the </w:t>
            </w:r>
            <w:r w:rsidRPr="00B24C14">
              <w:rPr>
                <w:rFonts w:cstheme="minorHAnsi"/>
                <w:bCs/>
                <w:sz w:val="20"/>
                <w:szCs w:val="20"/>
              </w:rPr>
              <w:t>Project</w:t>
            </w:r>
            <w:r w:rsidRPr="00B24C14">
              <w:rPr>
                <w:rFonts w:cstheme="minorHAnsi"/>
                <w:sz w:val="20"/>
                <w:szCs w:val="20"/>
              </w:rPr>
              <w:t xml:space="preserve"> are acceptable to the Association and duly incorporate and take into consideration</w:t>
            </w:r>
            <w:r w:rsidR="001D57CC" w:rsidRPr="00B24C14">
              <w:rPr>
                <w:rFonts w:cstheme="minorHAnsi"/>
                <w:sz w:val="20"/>
                <w:szCs w:val="20"/>
              </w:rPr>
              <w:t xml:space="preserve">, </w:t>
            </w:r>
            <w:r w:rsidRPr="00B24C14">
              <w:rPr>
                <w:rFonts w:cstheme="minorHAnsi"/>
                <w:sz w:val="20"/>
                <w:szCs w:val="20"/>
              </w:rPr>
              <w:t>the</w:t>
            </w:r>
            <w:r w:rsidR="002A4E74" w:rsidRPr="00B24C14">
              <w:rPr>
                <w:rFonts w:cstheme="minorHAnsi"/>
                <w:sz w:val="20"/>
                <w:szCs w:val="20"/>
              </w:rPr>
              <w:t xml:space="preserve"> provisions of the</w:t>
            </w:r>
            <w:r w:rsidR="001D57CC" w:rsidRPr="00B24C14">
              <w:rPr>
                <w:rFonts w:cstheme="minorHAnsi"/>
                <w:sz w:val="20"/>
                <w:szCs w:val="20"/>
              </w:rPr>
              <w:t xml:space="preserve"> Social Assessment, the Stakeholder Engagement Plan, the ESCP and the</w:t>
            </w:r>
            <w:r w:rsidRPr="00B24C14">
              <w:rPr>
                <w:rFonts w:cstheme="minorHAnsi"/>
                <w:sz w:val="20"/>
                <w:szCs w:val="20"/>
              </w:rPr>
              <w:t xml:space="preserve"> requirements of the ESSs</w:t>
            </w:r>
            <w:r w:rsidR="001D57CC" w:rsidRPr="00B24C14">
              <w:rPr>
                <w:rFonts w:cstheme="minorHAnsi"/>
                <w:sz w:val="20"/>
                <w:szCs w:val="20"/>
              </w:rPr>
              <w:t>, as applicable</w:t>
            </w:r>
            <w:r w:rsidRPr="00B24C14">
              <w:rPr>
                <w:rFonts w:cstheme="minorHAnsi"/>
                <w:sz w:val="20"/>
                <w:szCs w:val="20"/>
              </w:rPr>
              <w:t>.</w:t>
            </w:r>
            <w:r w:rsidRPr="00355083">
              <w:rPr>
                <w:rFonts w:ascii="Times New Roman" w:hAnsi="Times New Roman" w:cs="Times New Roman"/>
                <w:sz w:val="20"/>
                <w:szCs w:val="20"/>
              </w:rPr>
              <w:t xml:space="preserve"> </w:t>
            </w:r>
          </w:p>
        </w:tc>
        <w:tc>
          <w:tcPr>
            <w:tcW w:w="3780" w:type="dxa"/>
          </w:tcPr>
          <w:p w14:paraId="04EAA011" w14:textId="163A5873" w:rsidR="00355083" w:rsidRDefault="00355083" w:rsidP="00EE3CD7">
            <w:pPr>
              <w:keepLines/>
              <w:widowControl w:val="0"/>
              <w:rPr>
                <w:rFonts w:cstheme="minorHAnsi"/>
                <w:sz w:val="20"/>
                <w:szCs w:val="20"/>
              </w:rPr>
            </w:pPr>
            <w:r>
              <w:rPr>
                <w:rFonts w:cstheme="minorHAnsi"/>
                <w:sz w:val="20"/>
                <w:szCs w:val="20"/>
              </w:rPr>
              <w:t>Throughout Project implementation</w:t>
            </w:r>
          </w:p>
        </w:tc>
        <w:tc>
          <w:tcPr>
            <w:tcW w:w="3690" w:type="dxa"/>
          </w:tcPr>
          <w:p w14:paraId="380B6FD6" w14:textId="15C65BE5" w:rsidR="00355083" w:rsidRPr="00360DDF" w:rsidRDefault="00F32309" w:rsidP="005D394E">
            <w:pPr>
              <w:keepLines/>
              <w:widowControl w:val="0"/>
              <w:rPr>
                <w:rFonts w:cstheme="minorHAnsi"/>
                <w:sz w:val="20"/>
                <w:szCs w:val="20"/>
              </w:rPr>
            </w:pPr>
            <w:r>
              <w:rPr>
                <w:rFonts w:cstheme="minorHAnsi"/>
                <w:sz w:val="20"/>
                <w:szCs w:val="20"/>
              </w:rPr>
              <w:t>Ministry</w:t>
            </w:r>
            <w:r w:rsidR="00355083" w:rsidRPr="00360DDF">
              <w:rPr>
                <w:rFonts w:cstheme="minorHAnsi"/>
                <w:sz w:val="20"/>
                <w:szCs w:val="20"/>
              </w:rPr>
              <w:t xml:space="preserve"> of Education</w:t>
            </w:r>
          </w:p>
        </w:tc>
      </w:tr>
      <w:tr w:rsidR="000D0ECC" w:rsidRPr="00FA0A88" w14:paraId="13C5E52B" w14:textId="77777777" w:rsidTr="00594521">
        <w:trPr>
          <w:cantSplit/>
          <w:trHeight w:val="20"/>
        </w:trPr>
        <w:tc>
          <w:tcPr>
            <w:tcW w:w="715" w:type="dxa"/>
          </w:tcPr>
          <w:p w14:paraId="556EBD0C" w14:textId="77777777" w:rsidR="000D0ECC" w:rsidRPr="00FA0A88" w:rsidRDefault="000D0ECC" w:rsidP="005D394E">
            <w:pPr>
              <w:keepLines/>
              <w:widowControl w:val="0"/>
              <w:jc w:val="center"/>
              <w:rPr>
                <w:rFonts w:cstheme="minorHAnsi"/>
                <w:sz w:val="20"/>
                <w:szCs w:val="20"/>
              </w:rPr>
            </w:pPr>
            <w:r w:rsidRPr="00FA0A88">
              <w:rPr>
                <w:rFonts w:cstheme="minorHAnsi"/>
                <w:sz w:val="20"/>
                <w:szCs w:val="20"/>
              </w:rPr>
              <w:t>1.4</w:t>
            </w:r>
          </w:p>
        </w:tc>
        <w:tc>
          <w:tcPr>
            <w:tcW w:w="6120" w:type="dxa"/>
          </w:tcPr>
          <w:p w14:paraId="2D8B91A6" w14:textId="60DD2845" w:rsidR="000D0ECC" w:rsidRPr="00FA0A88" w:rsidRDefault="000D0ECC" w:rsidP="005D394E">
            <w:pPr>
              <w:keepLines/>
              <w:widowControl w:val="0"/>
              <w:rPr>
                <w:rFonts w:cstheme="minorHAnsi"/>
                <w:sz w:val="20"/>
                <w:szCs w:val="20"/>
              </w:rPr>
            </w:pPr>
            <w:r>
              <w:rPr>
                <w:rFonts w:cstheme="minorHAnsi"/>
                <w:b/>
                <w:color w:val="5B9BD5" w:themeColor="accent5"/>
                <w:sz w:val="20"/>
                <w:szCs w:val="20"/>
              </w:rPr>
              <w:t>MANAGEMENT OF CONSULTANTS</w:t>
            </w:r>
          </w:p>
          <w:p w14:paraId="717AF0C5" w14:textId="1A048CF0" w:rsidR="000D0ECC" w:rsidRPr="00FA0A88" w:rsidRDefault="000D0ECC" w:rsidP="005D394E">
            <w:pPr>
              <w:keepLines/>
              <w:widowControl w:val="0"/>
              <w:rPr>
                <w:rFonts w:cstheme="minorHAnsi"/>
                <w:sz w:val="20"/>
                <w:szCs w:val="20"/>
              </w:rPr>
            </w:pPr>
            <w:r w:rsidRPr="007D78EF">
              <w:rPr>
                <w:rFonts w:cstheme="minorHAnsi"/>
                <w:sz w:val="20"/>
                <w:szCs w:val="20"/>
              </w:rPr>
              <w:t xml:space="preserve">Incorporate the relevant aspects of the ESCP, including the relevant E&amp;S documents and/or plans, and the Labor Management Procedures, into the ESHS specifications of the procurement documents with </w:t>
            </w:r>
            <w:r w:rsidR="00AC1691">
              <w:rPr>
                <w:rFonts w:cstheme="minorHAnsi"/>
                <w:sz w:val="20"/>
                <w:szCs w:val="20"/>
              </w:rPr>
              <w:t>consultants</w:t>
            </w:r>
            <w:r w:rsidRPr="00FA0A88">
              <w:rPr>
                <w:rFonts w:cstheme="minorHAnsi"/>
                <w:sz w:val="20"/>
                <w:szCs w:val="20"/>
              </w:rPr>
              <w:t xml:space="preserve">. Thereafter ensure that the </w:t>
            </w:r>
            <w:r w:rsidR="00AC1691">
              <w:rPr>
                <w:rFonts w:cstheme="minorHAnsi"/>
                <w:sz w:val="20"/>
                <w:szCs w:val="20"/>
              </w:rPr>
              <w:t xml:space="preserve">consultants </w:t>
            </w:r>
            <w:r w:rsidRPr="00FA0A88">
              <w:rPr>
                <w:rFonts w:cstheme="minorHAnsi"/>
                <w:sz w:val="20"/>
                <w:szCs w:val="20"/>
              </w:rPr>
              <w:t>comply with the ESHS specifications of their respective contracts.</w:t>
            </w:r>
          </w:p>
          <w:p w14:paraId="16EDEFB8" w14:textId="1897EFC7" w:rsidR="000D0ECC" w:rsidRPr="00FA0A88" w:rsidRDefault="000D0ECC" w:rsidP="005D394E">
            <w:pPr>
              <w:keepLines/>
              <w:widowControl w:val="0"/>
              <w:rPr>
                <w:rFonts w:cstheme="minorHAnsi"/>
                <w:sz w:val="20"/>
                <w:szCs w:val="20"/>
              </w:rPr>
            </w:pPr>
          </w:p>
        </w:tc>
        <w:tc>
          <w:tcPr>
            <w:tcW w:w="3780" w:type="dxa"/>
          </w:tcPr>
          <w:p w14:paraId="34689B31" w14:textId="43C32B76" w:rsidR="000D0ECC" w:rsidRPr="00360DDF" w:rsidRDefault="007D78EF" w:rsidP="00EE3CD7">
            <w:pPr>
              <w:keepLines/>
              <w:widowControl w:val="0"/>
              <w:rPr>
                <w:rFonts w:cstheme="minorHAnsi"/>
                <w:sz w:val="20"/>
                <w:szCs w:val="20"/>
              </w:rPr>
            </w:pPr>
            <w:r>
              <w:rPr>
                <w:rFonts w:cstheme="minorHAnsi"/>
                <w:sz w:val="20"/>
                <w:szCs w:val="20"/>
              </w:rPr>
              <w:t>P</w:t>
            </w:r>
            <w:r w:rsidR="00EE3CD7" w:rsidRPr="00360DDF">
              <w:rPr>
                <w:rFonts w:cstheme="minorHAnsi"/>
                <w:sz w:val="20"/>
                <w:szCs w:val="20"/>
              </w:rPr>
              <w:t xml:space="preserve">rior to the preparation of procurement documents. </w:t>
            </w:r>
            <w:r w:rsidR="00360DDF" w:rsidRPr="00360DDF">
              <w:rPr>
                <w:rFonts w:cstheme="minorHAnsi"/>
                <w:sz w:val="20"/>
                <w:szCs w:val="20"/>
              </w:rPr>
              <w:t xml:space="preserve">Implement </w:t>
            </w:r>
            <w:r w:rsidR="00EE3CD7" w:rsidRPr="00360DDF">
              <w:rPr>
                <w:rFonts w:cstheme="minorHAnsi"/>
                <w:sz w:val="20"/>
                <w:szCs w:val="20"/>
              </w:rPr>
              <w:t>throughout Project implementation.</w:t>
            </w:r>
          </w:p>
        </w:tc>
        <w:tc>
          <w:tcPr>
            <w:tcW w:w="3690" w:type="dxa"/>
          </w:tcPr>
          <w:p w14:paraId="2C167600" w14:textId="66A8B868" w:rsidR="000D0ECC" w:rsidRPr="00FA0A88" w:rsidRDefault="00F32309" w:rsidP="005D394E">
            <w:pPr>
              <w:keepLines/>
              <w:widowControl w:val="0"/>
              <w:rPr>
                <w:rFonts w:cstheme="minorHAnsi"/>
                <w:sz w:val="20"/>
                <w:szCs w:val="20"/>
              </w:rPr>
            </w:pPr>
            <w:r>
              <w:rPr>
                <w:rFonts w:cstheme="minorHAnsi"/>
                <w:sz w:val="20"/>
                <w:szCs w:val="20"/>
              </w:rPr>
              <w:t>Ministry</w:t>
            </w:r>
            <w:r w:rsidR="00EE3CD7" w:rsidRPr="00360DDF">
              <w:rPr>
                <w:rFonts w:cstheme="minorHAnsi"/>
                <w:sz w:val="20"/>
                <w:szCs w:val="20"/>
              </w:rPr>
              <w:t xml:space="preserve"> of Education</w:t>
            </w:r>
          </w:p>
        </w:tc>
      </w:tr>
      <w:tr w:rsidR="000D0ECC" w:rsidRPr="00FA0A88" w14:paraId="24AAF5F3" w14:textId="77777777" w:rsidTr="00516511">
        <w:trPr>
          <w:cantSplit/>
          <w:trHeight w:val="224"/>
        </w:trPr>
        <w:tc>
          <w:tcPr>
            <w:tcW w:w="14305" w:type="dxa"/>
            <w:gridSpan w:val="4"/>
            <w:shd w:val="clear" w:color="auto" w:fill="F4B083" w:themeFill="accent2" w:themeFillTint="99"/>
          </w:tcPr>
          <w:p w14:paraId="2B02C777" w14:textId="47D436D3" w:rsidR="00516511" w:rsidRPr="00516511" w:rsidRDefault="000D0ECC" w:rsidP="005D394E">
            <w:pPr>
              <w:keepLines/>
              <w:widowControl w:val="0"/>
              <w:rPr>
                <w:rFonts w:cstheme="minorHAnsi"/>
                <w:b/>
                <w:sz w:val="20"/>
                <w:szCs w:val="20"/>
              </w:rPr>
            </w:pPr>
            <w:r w:rsidRPr="00FA0A88">
              <w:rPr>
                <w:rFonts w:cstheme="minorHAnsi"/>
                <w:b/>
                <w:sz w:val="20"/>
                <w:szCs w:val="20"/>
              </w:rPr>
              <w:t xml:space="preserve">ESS 2:  LABOR AND WORKING CONDITIONS  </w:t>
            </w:r>
          </w:p>
        </w:tc>
      </w:tr>
      <w:tr w:rsidR="00EE3CD7" w:rsidRPr="00FA0A88" w14:paraId="752A32E9" w14:textId="77777777" w:rsidTr="00594521">
        <w:trPr>
          <w:cantSplit/>
          <w:trHeight w:val="20"/>
        </w:trPr>
        <w:tc>
          <w:tcPr>
            <w:tcW w:w="715" w:type="dxa"/>
          </w:tcPr>
          <w:p w14:paraId="588298D6" w14:textId="77777777" w:rsidR="00EE3CD7" w:rsidRPr="00FA0A88" w:rsidRDefault="00EE3CD7" w:rsidP="005D394E">
            <w:pPr>
              <w:keepLines/>
              <w:widowControl w:val="0"/>
              <w:jc w:val="center"/>
              <w:rPr>
                <w:rFonts w:cstheme="minorHAnsi"/>
                <w:sz w:val="20"/>
                <w:szCs w:val="20"/>
              </w:rPr>
            </w:pPr>
            <w:r w:rsidRPr="00FA0A88">
              <w:rPr>
                <w:rFonts w:cstheme="minorHAnsi"/>
                <w:sz w:val="20"/>
                <w:szCs w:val="20"/>
              </w:rPr>
              <w:t>2.1</w:t>
            </w:r>
          </w:p>
        </w:tc>
        <w:tc>
          <w:tcPr>
            <w:tcW w:w="6120" w:type="dxa"/>
          </w:tcPr>
          <w:p w14:paraId="73A6FFE4" w14:textId="77777777" w:rsidR="00EE3CD7" w:rsidRPr="00373802" w:rsidRDefault="00EE3CD7" w:rsidP="005D394E">
            <w:pPr>
              <w:keepLines/>
              <w:widowControl w:val="0"/>
              <w:rPr>
                <w:rFonts w:eastAsia="Times New Roman" w:cstheme="minorHAnsi"/>
                <w:b/>
                <w:bCs/>
                <w:color w:val="4472C4" w:themeColor="accent1"/>
                <w:sz w:val="20"/>
                <w:szCs w:val="20"/>
              </w:rPr>
            </w:pPr>
            <w:r w:rsidRPr="00373802">
              <w:rPr>
                <w:rFonts w:eastAsia="Times New Roman" w:cstheme="minorHAnsi"/>
                <w:b/>
                <w:bCs/>
                <w:color w:val="4472C4" w:themeColor="accent1"/>
                <w:sz w:val="20"/>
                <w:szCs w:val="20"/>
              </w:rPr>
              <w:t>LABOR MANAGEMENT PROCEDURES</w:t>
            </w:r>
          </w:p>
          <w:p w14:paraId="252E36FD" w14:textId="03ACB49D" w:rsidR="00EE3CD7" w:rsidRPr="00FA0A88" w:rsidRDefault="00EE3CD7" w:rsidP="005D394E">
            <w:pPr>
              <w:keepLines/>
              <w:widowControl w:val="0"/>
              <w:rPr>
                <w:rFonts w:cstheme="minorHAnsi"/>
                <w:sz w:val="20"/>
                <w:szCs w:val="20"/>
              </w:rPr>
            </w:pPr>
            <w:r w:rsidRPr="00FA0A88">
              <w:rPr>
                <w:rFonts w:cstheme="minorHAnsi"/>
                <w:sz w:val="20"/>
                <w:szCs w:val="20"/>
              </w:rPr>
              <w:t>Update the</w:t>
            </w:r>
            <w:r w:rsidR="001D57CC">
              <w:rPr>
                <w:rFonts w:cstheme="minorHAnsi"/>
                <w:sz w:val="20"/>
                <w:szCs w:val="20"/>
              </w:rPr>
              <w:t xml:space="preserve"> draft</w:t>
            </w:r>
            <w:r w:rsidRPr="00FA0A88">
              <w:rPr>
                <w:rFonts w:cstheme="minorHAnsi"/>
                <w:sz w:val="20"/>
                <w:szCs w:val="20"/>
              </w:rPr>
              <w:t xml:space="preserve"> Labor Management Procedures (LMP) that have been developed for the Project</w:t>
            </w:r>
            <w:r w:rsidR="001D57CC">
              <w:rPr>
                <w:rFonts w:cstheme="minorHAnsi"/>
                <w:sz w:val="20"/>
                <w:szCs w:val="20"/>
              </w:rPr>
              <w:t>, and thereafter, implement the revised LMP, in a manner acceptable to the Association</w:t>
            </w:r>
            <w:r w:rsidRPr="00FA0A88">
              <w:rPr>
                <w:rFonts w:cstheme="minorHAnsi"/>
                <w:sz w:val="20"/>
                <w:szCs w:val="20"/>
              </w:rPr>
              <w:t xml:space="preserve">. </w:t>
            </w:r>
          </w:p>
        </w:tc>
        <w:tc>
          <w:tcPr>
            <w:tcW w:w="3780" w:type="dxa"/>
          </w:tcPr>
          <w:p w14:paraId="79005B4D" w14:textId="47C6340F" w:rsidR="00EE3CD7" w:rsidRPr="00FA0A88" w:rsidRDefault="001D57CC" w:rsidP="005D09FE">
            <w:pPr>
              <w:keepLines/>
              <w:widowControl w:val="0"/>
              <w:rPr>
                <w:rFonts w:eastAsia="Times New Roman" w:cstheme="minorHAnsi"/>
                <w:bCs/>
                <w:i/>
                <w:sz w:val="20"/>
                <w:szCs w:val="20"/>
              </w:rPr>
            </w:pPr>
            <w:r>
              <w:rPr>
                <w:rFonts w:eastAsia="Times New Roman" w:cstheme="minorHAnsi"/>
                <w:bCs/>
                <w:iCs/>
                <w:sz w:val="20"/>
                <w:szCs w:val="20"/>
              </w:rPr>
              <w:t>The revised</w:t>
            </w:r>
            <w:r w:rsidR="00EE3CD7" w:rsidRPr="00054B24">
              <w:rPr>
                <w:rFonts w:eastAsia="Times New Roman" w:cstheme="minorHAnsi"/>
                <w:bCs/>
                <w:iCs/>
                <w:sz w:val="20"/>
                <w:szCs w:val="20"/>
              </w:rPr>
              <w:t xml:space="preserve"> LMP </w:t>
            </w:r>
            <w:r w:rsidR="00685655">
              <w:rPr>
                <w:rFonts w:eastAsia="Times New Roman" w:cstheme="minorHAnsi"/>
                <w:bCs/>
                <w:iCs/>
                <w:sz w:val="20"/>
                <w:szCs w:val="20"/>
              </w:rPr>
              <w:t xml:space="preserve">will be </w:t>
            </w:r>
            <w:r>
              <w:rPr>
                <w:rFonts w:eastAsia="Times New Roman" w:cstheme="minorHAnsi"/>
                <w:bCs/>
                <w:sz w:val="20"/>
                <w:szCs w:val="20"/>
              </w:rPr>
              <w:t xml:space="preserve">finalized </w:t>
            </w:r>
            <w:r w:rsidR="00EE3CD7" w:rsidRPr="00B856D8">
              <w:rPr>
                <w:rFonts w:eastAsia="Times New Roman" w:cstheme="minorHAnsi"/>
                <w:bCs/>
                <w:sz w:val="20"/>
                <w:szCs w:val="20"/>
              </w:rPr>
              <w:t xml:space="preserve">no later than two (2) weeks after </w:t>
            </w:r>
            <w:r w:rsidR="00EE3CD7">
              <w:rPr>
                <w:rFonts w:eastAsia="Times New Roman" w:cstheme="minorHAnsi"/>
                <w:bCs/>
                <w:sz w:val="20"/>
                <w:szCs w:val="20"/>
              </w:rPr>
              <w:t>P</w:t>
            </w:r>
            <w:r w:rsidR="00EE3CD7" w:rsidRPr="00B856D8">
              <w:rPr>
                <w:rFonts w:eastAsia="Times New Roman" w:cstheme="minorHAnsi"/>
                <w:bCs/>
                <w:sz w:val="20"/>
                <w:szCs w:val="20"/>
              </w:rPr>
              <w:t xml:space="preserve">roject effectiveness and implemented throughout Project </w:t>
            </w:r>
            <w:r>
              <w:rPr>
                <w:rFonts w:eastAsia="Times New Roman" w:cstheme="minorHAnsi"/>
                <w:bCs/>
                <w:sz w:val="20"/>
                <w:szCs w:val="20"/>
              </w:rPr>
              <w:t>implementation</w:t>
            </w:r>
            <w:r w:rsidR="00EE3CD7" w:rsidRPr="00B856D8">
              <w:rPr>
                <w:rFonts w:eastAsia="Times New Roman" w:cstheme="minorHAnsi"/>
                <w:bCs/>
                <w:sz w:val="20"/>
                <w:szCs w:val="20"/>
              </w:rPr>
              <w:t>.</w:t>
            </w:r>
          </w:p>
        </w:tc>
        <w:tc>
          <w:tcPr>
            <w:tcW w:w="3690" w:type="dxa"/>
          </w:tcPr>
          <w:p w14:paraId="1DBB9F8C" w14:textId="71B75BD9" w:rsidR="00EE3CD7" w:rsidRPr="00516511" w:rsidRDefault="00F32309" w:rsidP="00EE3CD7">
            <w:pPr>
              <w:keepLines/>
              <w:widowControl w:val="0"/>
              <w:rPr>
                <w:rFonts w:cstheme="minorHAnsi"/>
                <w:sz w:val="20"/>
                <w:szCs w:val="20"/>
              </w:rPr>
            </w:pPr>
            <w:r w:rsidRPr="00516511">
              <w:rPr>
                <w:rFonts w:cstheme="minorHAnsi"/>
                <w:sz w:val="20"/>
                <w:szCs w:val="20"/>
              </w:rPr>
              <w:t>Ministry</w:t>
            </w:r>
            <w:r w:rsidR="00EE3CD7" w:rsidRPr="00516511">
              <w:rPr>
                <w:rFonts w:cstheme="minorHAnsi"/>
                <w:sz w:val="20"/>
                <w:szCs w:val="20"/>
              </w:rPr>
              <w:t xml:space="preserve"> of Education</w:t>
            </w:r>
          </w:p>
        </w:tc>
      </w:tr>
      <w:tr w:rsidR="00EE3CD7" w:rsidRPr="00FA0A88" w14:paraId="4EEA286A" w14:textId="77777777" w:rsidTr="00594521">
        <w:trPr>
          <w:cantSplit/>
          <w:trHeight w:val="20"/>
        </w:trPr>
        <w:tc>
          <w:tcPr>
            <w:tcW w:w="715" w:type="dxa"/>
          </w:tcPr>
          <w:p w14:paraId="6EF002B6" w14:textId="77777777" w:rsidR="00EE3CD7" w:rsidRPr="00FA0A88" w:rsidRDefault="00EE3CD7" w:rsidP="005D394E">
            <w:pPr>
              <w:keepLines/>
              <w:widowControl w:val="0"/>
              <w:jc w:val="center"/>
              <w:rPr>
                <w:rFonts w:cstheme="minorHAnsi"/>
                <w:sz w:val="20"/>
                <w:szCs w:val="20"/>
              </w:rPr>
            </w:pPr>
            <w:r w:rsidRPr="00FA0A88">
              <w:rPr>
                <w:rFonts w:cstheme="minorHAnsi"/>
                <w:sz w:val="20"/>
                <w:szCs w:val="20"/>
              </w:rPr>
              <w:t>2.2</w:t>
            </w:r>
          </w:p>
        </w:tc>
        <w:tc>
          <w:tcPr>
            <w:tcW w:w="6120" w:type="dxa"/>
          </w:tcPr>
          <w:p w14:paraId="5ACF0C6B" w14:textId="77777777" w:rsidR="00EE3CD7" w:rsidRPr="00373802" w:rsidRDefault="00EE3CD7" w:rsidP="00373802">
            <w:pPr>
              <w:keepLines/>
              <w:widowControl w:val="0"/>
              <w:rPr>
                <w:rFonts w:eastAsia="Times New Roman" w:cstheme="minorHAnsi"/>
                <w:b/>
                <w:bCs/>
                <w:color w:val="4472C4" w:themeColor="accent1"/>
                <w:sz w:val="20"/>
                <w:szCs w:val="20"/>
              </w:rPr>
            </w:pPr>
            <w:r w:rsidRPr="00373802">
              <w:rPr>
                <w:rFonts w:eastAsia="Times New Roman" w:cstheme="minorHAnsi"/>
                <w:b/>
                <w:bCs/>
                <w:color w:val="4472C4" w:themeColor="accent1"/>
                <w:sz w:val="20"/>
                <w:szCs w:val="20"/>
              </w:rPr>
              <w:t xml:space="preserve">GRIEVANCE MECHANISM FOR PROJECT WORKERS </w:t>
            </w:r>
          </w:p>
          <w:p w14:paraId="485BD655" w14:textId="429D8758" w:rsidR="00EE3CD7" w:rsidRPr="00FA0A88" w:rsidRDefault="00EE3CD7" w:rsidP="005D394E">
            <w:pPr>
              <w:pStyle w:val="MainText"/>
              <w:keepLines/>
              <w:widowControl w:val="0"/>
              <w:spacing w:after="0" w:line="240" w:lineRule="auto"/>
              <w:jc w:val="both"/>
              <w:rPr>
                <w:rFonts w:asciiTheme="minorHAnsi" w:hAnsiTheme="minorHAnsi" w:cstheme="minorHAnsi"/>
                <w:szCs w:val="20"/>
              </w:rPr>
            </w:pPr>
            <w:r w:rsidRPr="00FA0A88">
              <w:rPr>
                <w:rFonts w:asciiTheme="minorHAnsi" w:hAnsiTheme="minorHAnsi" w:cstheme="minorHAnsi"/>
                <w:szCs w:val="20"/>
              </w:rPr>
              <w:t xml:space="preserve">Establish, maintain, and operate a grievance mechanism for Project workers, as described in the LMP and consistent with ESS2.  </w:t>
            </w:r>
          </w:p>
        </w:tc>
        <w:tc>
          <w:tcPr>
            <w:tcW w:w="3780" w:type="dxa"/>
          </w:tcPr>
          <w:p w14:paraId="09632AE7" w14:textId="2DAB9E3B" w:rsidR="00EE3CD7" w:rsidRPr="00EE3CD7" w:rsidRDefault="00EE3CD7" w:rsidP="005D394E">
            <w:pPr>
              <w:keepLines/>
              <w:widowControl w:val="0"/>
              <w:rPr>
                <w:rFonts w:cstheme="minorHAnsi"/>
                <w:i/>
                <w:lang w:eastAsia="en-GB"/>
              </w:rPr>
            </w:pPr>
            <w:r w:rsidRPr="001D57CC">
              <w:rPr>
                <w:rFonts w:eastAsia="Times New Roman" w:cstheme="minorHAnsi"/>
                <w:bCs/>
                <w:iCs/>
                <w:sz w:val="20"/>
              </w:rPr>
              <w:t>Grievance mechanism operational prior engaging Project workers and maintained throughout Project implementation.</w:t>
            </w:r>
          </w:p>
        </w:tc>
        <w:tc>
          <w:tcPr>
            <w:tcW w:w="3690" w:type="dxa"/>
          </w:tcPr>
          <w:p w14:paraId="3C71A24E" w14:textId="50A21C95" w:rsidR="00EE3CD7" w:rsidRPr="00516511" w:rsidRDefault="00F32309" w:rsidP="005D394E">
            <w:pPr>
              <w:keepLines/>
              <w:widowControl w:val="0"/>
              <w:rPr>
                <w:rFonts w:cstheme="minorHAnsi"/>
                <w:sz w:val="20"/>
                <w:szCs w:val="20"/>
              </w:rPr>
            </w:pPr>
            <w:r w:rsidRPr="00516511">
              <w:rPr>
                <w:rFonts w:cstheme="minorHAnsi"/>
                <w:sz w:val="20"/>
                <w:szCs w:val="20"/>
              </w:rPr>
              <w:t>Ministry</w:t>
            </w:r>
            <w:r w:rsidR="005F6F48" w:rsidRPr="00516511">
              <w:rPr>
                <w:rFonts w:cstheme="minorHAnsi"/>
                <w:sz w:val="20"/>
                <w:szCs w:val="20"/>
              </w:rPr>
              <w:t xml:space="preserve"> </w:t>
            </w:r>
            <w:r w:rsidR="00EE3CD7" w:rsidRPr="00516511">
              <w:rPr>
                <w:rFonts w:cstheme="minorHAnsi"/>
                <w:sz w:val="20"/>
                <w:szCs w:val="20"/>
              </w:rPr>
              <w:t>of Education</w:t>
            </w:r>
          </w:p>
        </w:tc>
      </w:tr>
      <w:tr w:rsidR="00EE3CD7" w:rsidRPr="00FA0A88" w14:paraId="2603CE7D" w14:textId="77777777" w:rsidTr="00594521">
        <w:trPr>
          <w:cantSplit/>
          <w:trHeight w:val="20"/>
        </w:trPr>
        <w:tc>
          <w:tcPr>
            <w:tcW w:w="715" w:type="dxa"/>
          </w:tcPr>
          <w:p w14:paraId="081D5CED" w14:textId="77777777" w:rsidR="00EE3CD7" w:rsidRPr="00FA0A88" w:rsidRDefault="00EE3CD7" w:rsidP="005D394E">
            <w:pPr>
              <w:keepLines/>
              <w:widowControl w:val="0"/>
              <w:jc w:val="center"/>
              <w:rPr>
                <w:rFonts w:cstheme="minorHAnsi"/>
                <w:sz w:val="20"/>
                <w:szCs w:val="20"/>
              </w:rPr>
            </w:pPr>
            <w:r w:rsidRPr="00FA0A88">
              <w:rPr>
                <w:rFonts w:cstheme="minorHAnsi"/>
                <w:sz w:val="20"/>
                <w:szCs w:val="20"/>
              </w:rPr>
              <w:t>2.3</w:t>
            </w:r>
          </w:p>
        </w:tc>
        <w:tc>
          <w:tcPr>
            <w:tcW w:w="6120" w:type="dxa"/>
          </w:tcPr>
          <w:p w14:paraId="5A80C25D" w14:textId="0CDD2D46" w:rsidR="00EE3CD7" w:rsidRPr="00373802" w:rsidRDefault="00EE3CD7" w:rsidP="00373802">
            <w:pPr>
              <w:keepLines/>
              <w:widowControl w:val="0"/>
              <w:rPr>
                <w:rFonts w:eastAsia="Times New Roman" w:cstheme="minorHAnsi"/>
                <w:b/>
                <w:bCs/>
                <w:color w:val="4472C4" w:themeColor="accent1"/>
                <w:sz w:val="20"/>
                <w:szCs w:val="20"/>
              </w:rPr>
            </w:pPr>
            <w:r w:rsidRPr="00373802">
              <w:rPr>
                <w:rFonts w:eastAsia="Times New Roman" w:cstheme="minorHAnsi"/>
                <w:b/>
                <w:bCs/>
                <w:color w:val="4472C4" w:themeColor="accent1"/>
                <w:sz w:val="20"/>
                <w:szCs w:val="20"/>
              </w:rPr>
              <w:t>OCCUPATIONAL HEALTH AND SAFETY (OHS) MEASURES</w:t>
            </w:r>
          </w:p>
          <w:p w14:paraId="1746DBD9" w14:textId="45556D0A" w:rsidR="00EE3CD7" w:rsidRPr="00FA0A88" w:rsidRDefault="00EE3CD7" w:rsidP="005D394E">
            <w:pPr>
              <w:keepLines/>
              <w:widowControl w:val="0"/>
              <w:jc w:val="both"/>
              <w:rPr>
                <w:rFonts w:cstheme="minorHAnsi"/>
                <w:sz w:val="20"/>
                <w:szCs w:val="20"/>
              </w:rPr>
            </w:pPr>
            <w:r w:rsidRPr="00FA0A88">
              <w:rPr>
                <w:rFonts w:cstheme="minorHAnsi"/>
                <w:sz w:val="20"/>
                <w:szCs w:val="20"/>
              </w:rPr>
              <w:t>Prepare, adopt, and implement occupational, health and safety (OHS) measures</w:t>
            </w:r>
            <w:r>
              <w:rPr>
                <w:rFonts w:cstheme="minorHAnsi"/>
                <w:sz w:val="20"/>
                <w:szCs w:val="20"/>
              </w:rPr>
              <w:t xml:space="preserve"> </w:t>
            </w:r>
            <w:r w:rsidR="001D57CC">
              <w:rPr>
                <w:rFonts w:cstheme="minorHAnsi"/>
                <w:sz w:val="20"/>
                <w:szCs w:val="20"/>
              </w:rPr>
              <w:t xml:space="preserve">as described </w:t>
            </w:r>
            <w:r>
              <w:rPr>
                <w:rFonts w:cstheme="minorHAnsi"/>
                <w:sz w:val="20"/>
                <w:szCs w:val="20"/>
              </w:rPr>
              <w:t>in the LMP</w:t>
            </w:r>
            <w:r w:rsidR="001D57CC">
              <w:rPr>
                <w:rFonts w:cstheme="minorHAnsi"/>
                <w:sz w:val="20"/>
                <w:szCs w:val="20"/>
              </w:rPr>
              <w:t>.</w:t>
            </w:r>
          </w:p>
        </w:tc>
        <w:tc>
          <w:tcPr>
            <w:tcW w:w="3780" w:type="dxa"/>
          </w:tcPr>
          <w:p w14:paraId="146CDB64" w14:textId="6E6B5D35" w:rsidR="00EE3CD7" w:rsidRPr="00EE3CD7" w:rsidRDefault="00002F5A" w:rsidP="005D394E">
            <w:pPr>
              <w:keepLines/>
              <w:widowControl w:val="0"/>
              <w:rPr>
                <w:rFonts w:cstheme="minorHAnsi"/>
                <w:i/>
              </w:rPr>
            </w:pPr>
            <w:r w:rsidRPr="00C2719D">
              <w:rPr>
                <w:rFonts w:eastAsia="Times New Roman" w:cstheme="minorHAnsi"/>
                <w:bCs/>
                <w:iCs/>
                <w:sz w:val="20"/>
              </w:rPr>
              <w:t>Same timeframe as 2.1</w:t>
            </w:r>
          </w:p>
        </w:tc>
        <w:tc>
          <w:tcPr>
            <w:tcW w:w="3690" w:type="dxa"/>
          </w:tcPr>
          <w:p w14:paraId="2F2950B7" w14:textId="09A6260E" w:rsidR="00EE3CD7" w:rsidRPr="00516511" w:rsidRDefault="00F32309" w:rsidP="005D394E">
            <w:pPr>
              <w:keepLines/>
              <w:widowControl w:val="0"/>
              <w:rPr>
                <w:rFonts w:cstheme="minorHAnsi"/>
                <w:sz w:val="20"/>
                <w:szCs w:val="20"/>
              </w:rPr>
            </w:pPr>
            <w:r w:rsidRPr="00516511">
              <w:rPr>
                <w:rFonts w:cstheme="minorHAnsi"/>
                <w:sz w:val="20"/>
                <w:szCs w:val="20"/>
              </w:rPr>
              <w:t xml:space="preserve">Ministry </w:t>
            </w:r>
            <w:r w:rsidR="00EE3CD7" w:rsidRPr="00516511">
              <w:rPr>
                <w:rFonts w:cstheme="minorHAnsi"/>
                <w:sz w:val="20"/>
                <w:szCs w:val="20"/>
              </w:rPr>
              <w:t>of Education</w:t>
            </w:r>
          </w:p>
        </w:tc>
      </w:tr>
      <w:tr w:rsidR="00EE3CD7" w:rsidRPr="00FA0A88" w14:paraId="19FB4073" w14:textId="77777777" w:rsidTr="00594521">
        <w:trPr>
          <w:cantSplit/>
          <w:trHeight w:val="20"/>
        </w:trPr>
        <w:tc>
          <w:tcPr>
            <w:tcW w:w="14305" w:type="dxa"/>
            <w:gridSpan w:val="4"/>
            <w:shd w:val="clear" w:color="auto" w:fill="F4B083" w:themeFill="accent2" w:themeFillTint="99"/>
          </w:tcPr>
          <w:p w14:paraId="5ADAE11F" w14:textId="2CE834F4" w:rsidR="00EE3CD7" w:rsidRPr="00FA0A88" w:rsidRDefault="00EE3CD7" w:rsidP="005D394E">
            <w:pPr>
              <w:keepLines/>
              <w:widowControl w:val="0"/>
              <w:rPr>
                <w:rFonts w:cstheme="minorHAnsi"/>
                <w:sz w:val="20"/>
                <w:szCs w:val="20"/>
              </w:rPr>
            </w:pPr>
            <w:r w:rsidRPr="00FA0A88">
              <w:rPr>
                <w:rFonts w:cstheme="minorHAnsi"/>
                <w:b/>
                <w:sz w:val="20"/>
                <w:szCs w:val="20"/>
              </w:rPr>
              <w:t xml:space="preserve">ESS 3:  RESOURCE EFFICIENCY AND POLLUTION PREVENTION AND MANAGEMENT </w:t>
            </w:r>
          </w:p>
        </w:tc>
      </w:tr>
      <w:tr w:rsidR="00EE3CD7" w:rsidRPr="00FA0A88" w14:paraId="2C991D67" w14:textId="77777777" w:rsidTr="00594521">
        <w:trPr>
          <w:cantSplit/>
          <w:trHeight w:val="20"/>
        </w:trPr>
        <w:tc>
          <w:tcPr>
            <w:tcW w:w="715" w:type="dxa"/>
          </w:tcPr>
          <w:p w14:paraId="5F76716A" w14:textId="73F4D464" w:rsidR="00EE3CD7" w:rsidRPr="00FA0A88" w:rsidRDefault="00EE3CD7" w:rsidP="005D394E">
            <w:pPr>
              <w:keepLines/>
              <w:widowControl w:val="0"/>
              <w:jc w:val="center"/>
              <w:rPr>
                <w:rFonts w:cstheme="minorHAnsi"/>
                <w:sz w:val="20"/>
                <w:szCs w:val="20"/>
              </w:rPr>
            </w:pPr>
          </w:p>
        </w:tc>
        <w:tc>
          <w:tcPr>
            <w:tcW w:w="6120" w:type="dxa"/>
          </w:tcPr>
          <w:p w14:paraId="5DE9D93B" w14:textId="04F5BFEB" w:rsidR="00EE3CD7" w:rsidRPr="00FA0A88" w:rsidRDefault="00707068" w:rsidP="005D394E">
            <w:pPr>
              <w:keepLines/>
              <w:widowControl w:val="0"/>
              <w:rPr>
                <w:rFonts w:cstheme="minorHAnsi"/>
                <w:sz w:val="20"/>
                <w:szCs w:val="20"/>
              </w:rPr>
            </w:pPr>
            <w:r w:rsidRPr="00C2719D">
              <w:rPr>
                <w:rFonts w:cstheme="minorHAnsi"/>
                <w:sz w:val="20"/>
                <w:szCs w:val="20"/>
              </w:rPr>
              <w:t>This Standard is currently not relevant</w:t>
            </w:r>
          </w:p>
        </w:tc>
        <w:tc>
          <w:tcPr>
            <w:tcW w:w="3780" w:type="dxa"/>
          </w:tcPr>
          <w:p w14:paraId="6F3F9196" w14:textId="20A3CD5E" w:rsidR="00EE3CD7" w:rsidRPr="00FA0A88" w:rsidDel="002D5209" w:rsidRDefault="00EE3CD7" w:rsidP="005D394E">
            <w:pPr>
              <w:keepLines/>
              <w:widowControl w:val="0"/>
              <w:rPr>
                <w:rFonts w:cstheme="minorHAnsi"/>
                <w:i/>
                <w:sz w:val="20"/>
                <w:szCs w:val="20"/>
              </w:rPr>
            </w:pPr>
          </w:p>
        </w:tc>
        <w:tc>
          <w:tcPr>
            <w:tcW w:w="3690" w:type="dxa"/>
          </w:tcPr>
          <w:p w14:paraId="74C10992" w14:textId="77777777" w:rsidR="00EE3CD7" w:rsidRPr="00FA0A88" w:rsidRDefault="00EE3CD7" w:rsidP="005D394E">
            <w:pPr>
              <w:keepLines/>
              <w:widowControl w:val="0"/>
              <w:rPr>
                <w:rFonts w:cstheme="minorHAnsi"/>
                <w:sz w:val="20"/>
                <w:szCs w:val="20"/>
              </w:rPr>
            </w:pPr>
          </w:p>
        </w:tc>
      </w:tr>
    </w:tbl>
    <w:p w14:paraId="369BBEA1" w14:textId="5FE01B77" w:rsidR="007C5D74" w:rsidRPr="00FA0A88" w:rsidRDefault="007C5D74">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FA0A88" w14:paraId="18022C35" w14:textId="77777777" w:rsidTr="00594521">
        <w:trPr>
          <w:cantSplit/>
          <w:trHeight w:val="20"/>
        </w:trPr>
        <w:tc>
          <w:tcPr>
            <w:tcW w:w="14305" w:type="dxa"/>
            <w:gridSpan w:val="4"/>
            <w:shd w:val="clear" w:color="auto" w:fill="F4B083" w:themeFill="accent2" w:themeFillTint="99"/>
          </w:tcPr>
          <w:p w14:paraId="28E5EEAD" w14:textId="50E9B4C5" w:rsidR="00502173" w:rsidRPr="00FA0A88" w:rsidRDefault="00502173" w:rsidP="005D394E">
            <w:pPr>
              <w:keepLines/>
              <w:widowControl w:val="0"/>
              <w:rPr>
                <w:rFonts w:cstheme="minorHAnsi"/>
                <w:sz w:val="20"/>
                <w:szCs w:val="20"/>
              </w:rPr>
            </w:pPr>
            <w:r w:rsidRPr="00FA0A88">
              <w:rPr>
                <w:rFonts w:cstheme="minorHAnsi"/>
                <w:b/>
                <w:sz w:val="20"/>
                <w:szCs w:val="20"/>
              </w:rPr>
              <w:t>ESS 4:  COMMUNITY HEALTH AND SAFETY</w:t>
            </w:r>
            <w:r w:rsidR="00915F10" w:rsidRPr="00FA0A88">
              <w:rPr>
                <w:rFonts w:cstheme="minorHAnsi"/>
                <w:b/>
                <w:sz w:val="20"/>
                <w:szCs w:val="20"/>
              </w:rPr>
              <w:t xml:space="preserve"> </w:t>
            </w:r>
          </w:p>
        </w:tc>
      </w:tr>
      <w:tr w:rsidR="00502173" w:rsidRPr="00FA0A88" w14:paraId="0B8FCE37" w14:textId="77777777" w:rsidTr="00594521">
        <w:trPr>
          <w:cantSplit/>
          <w:trHeight w:val="20"/>
        </w:trPr>
        <w:tc>
          <w:tcPr>
            <w:tcW w:w="715" w:type="dxa"/>
          </w:tcPr>
          <w:p w14:paraId="2D2B02CD" w14:textId="4175C747" w:rsidR="00502173" w:rsidRPr="00FA0A88" w:rsidRDefault="00502173" w:rsidP="005D394E">
            <w:pPr>
              <w:keepLines/>
              <w:widowControl w:val="0"/>
              <w:jc w:val="center"/>
              <w:rPr>
                <w:rFonts w:cstheme="minorHAnsi"/>
                <w:sz w:val="20"/>
                <w:szCs w:val="20"/>
              </w:rPr>
            </w:pPr>
          </w:p>
        </w:tc>
        <w:tc>
          <w:tcPr>
            <w:tcW w:w="6120" w:type="dxa"/>
          </w:tcPr>
          <w:p w14:paraId="1B60EF3D" w14:textId="7A62B94D" w:rsidR="00502173" w:rsidRPr="00FA0A88" w:rsidRDefault="00AA525B" w:rsidP="005D394E">
            <w:pPr>
              <w:keepLines/>
              <w:widowControl w:val="0"/>
              <w:rPr>
                <w:rFonts w:cstheme="minorHAnsi"/>
                <w:sz w:val="20"/>
                <w:szCs w:val="20"/>
              </w:rPr>
            </w:pPr>
            <w:r w:rsidRPr="00AA525B">
              <w:rPr>
                <w:rFonts w:cstheme="minorHAnsi"/>
                <w:sz w:val="20"/>
                <w:szCs w:val="20"/>
              </w:rPr>
              <w:t>This Standard is currently not relevant</w:t>
            </w:r>
          </w:p>
        </w:tc>
        <w:tc>
          <w:tcPr>
            <w:tcW w:w="3780" w:type="dxa"/>
          </w:tcPr>
          <w:p w14:paraId="121F6EC9" w14:textId="30C8D983" w:rsidR="00502173" w:rsidRPr="00FA0A88" w:rsidRDefault="00502173" w:rsidP="005D394E">
            <w:pPr>
              <w:keepLines/>
              <w:widowControl w:val="0"/>
              <w:rPr>
                <w:rFonts w:cstheme="minorHAnsi"/>
                <w:i/>
                <w:sz w:val="20"/>
                <w:szCs w:val="20"/>
              </w:rPr>
            </w:pPr>
          </w:p>
        </w:tc>
        <w:tc>
          <w:tcPr>
            <w:tcW w:w="3690" w:type="dxa"/>
          </w:tcPr>
          <w:p w14:paraId="5AE9C6B2" w14:textId="77777777" w:rsidR="00502173" w:rsidRPr="00FA0A88" w:rsidRDefault="00502173" w:rsidP="005D394E">
            <w:pPr>
              <w:keepLines/>
              <w:widowControl w:val="0"/>
              <w:rPr>
                <w:rFonts w:cstheme="minorHAnsi"/>
                <w:sz w:val="20"/>
                <w:szCs w:val="20"/>
              </w:rPr>
            </w:pPr>
          </w:p>
        </w:tc>
      </w:tr>
    </w:tbl>
    <w:p w14:paraId="239CB251" w14:textId="4BAD09A6" w:rsidR="007C5D74" w:rsidRPr="00FA0A88" w:rsidRDefault="007C5D74">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FA0A88" w14:paraId="43B229A2" w14:textId="77777777" w:rsidTr="00594521">
        <w:trPr>
          <w:cantSplit/>
          <w:trHeight w:val="20"/>
        </w:trPr>
        <w:tc>
          <w:tcPr>
            <w:tcW w:w="14305" w:type="dxa"/>
            <w:gridSpan w:val="4"/>
            <w:shd w:val="clear" w:color="auto" w:fill="F4B083" w:themeFill="accent2" w:themeFillTint="99"/>
          </w:tcPr>
          <w:p w14:paraId="49B8701F" w14:textId="5AB3203D" w:rsidR="00502173" w:rsidRPr="00FA0A88" w:rsidRDefault="00502173" w:rsidP="005D394E">
            <w:pPr>
              <w:keepLines/>
              <w:widowControl w:val="0"/>
              <w:rPr>
                <w:rFonts w:cstheme="minorHAnsi"/>
                <w:sz w:val="20"/>
                <w:szCs w:val="20"/>
              </w:rPr>
            </w:pPr>
            <w:r w:rsidRPr="00FA0A88">
              <w:rPr>
                <w:rFonts w:cstheme="minorHAnsi"/>
                <w:b/>
                <w:sz w:val="20"/>
                <w:szCs w:val="20"/>
              </w:rPr>
              <w:t>ESS 5:  LAND ACQUISITION, RESTRICTIONS ON LAND USE AND INVOLUNTARY RESETTLEMENT</w:t>
            </w:r>
            <w:r w:rsidR="006D2168" w:rsidRPr="00FA0A88">
              <w:rPr>
                <w:rFonts w:cstheme="minorHAnsi"/>
                <w:b/>
                <w:sz w:val="20"/>
                <w:szCs w:val="20"/>
              </w:rPr>
              <w:t xml:space="preserve"> </w:t>
            </w:r>
          </w:p>
        </w:tc>
      </w:tr>
      <w:tr w:rsidR="00502173" w:rsidRPr="00FA0A88" w14:paraId="7E1E5881" w14:textId="77777777" w:rsidTr="00594521">
        <w:trPr>
          <w:cantSplit/>
          <w:trHeight w:val="20"/>
        </w:trPr>
        <w:tc>
          <w:tcPr>
            <w:tcW w:w="715" w:type="dxa"/>
          </w:tcPr>
          <w:p w14:paraId="76E6CB4C" w14:textId="69C43084" w:rsidR="00502173" w:rsidRPr="00FA0A88" w:rsidRDefault="00502173" w:rsidP="005D394E">
            <w:pPr>
              <w:keepLines/>
              <w:widowControl w:val="0"/>
              <w:jc w:val="center"/>
              <w:rPr>
                <w:rFonts w:cstheme="minorHAnsi"/>
                <w:sz w:val="20"/>
                <w:szCs w:val="20"/>
              </w:rPr>
            </w:pPr>
          </w:p>
        </w:tc>
        <w:tc>
          <w:tcPr>
            <w:tcW w:w="6120" w:type="dxa"/>
          </w:tcPr>
          <w:p w14:paraId="0F1215C7" w14:textId="08A9DD8A" w:rsidR="00502173" w:rsidRPr="00FA0A88" w:rsidRDefault="00AA525B" w:rsidP="002D4AA2">
            <w:pPr>
              <w:keepLines/>
              <w:widowControl w:val="0"/>
              <w:rPr>
                <w:rFonts w:cstheme="minorHAnsi"/>
                <w:sz w:val="20"/>
                <w:szCs w:val="20"/>
                <w:u w:val="single"/>
              </w:rPr>
            </w:pPr>
            <w:r w:rsidRPr="00AA525B">
              <w:rPr>
                <w:rFonts w:cstheme="minorHAnsi"/>
                <w:sz w:val="20"/>
                <w:szCs w:val="20"/>
                <w:u w:val="single"/>
              </w:rPr>
              <w:t>This Standard is currently not relevant</w:t>
            </w:r>
          </w:p>
        </w:tc>
        <w:tc>
          <w:tcPr>
            <w:tcW w:w="3780" w:type="dxa"/>
          </w:tcPr>
          <w:p w14:paraId="43DA2DD0" w14:textId="1AB6F7F9" w:rsidR="00502173" w:rsidRPr="00FA0A88" w:rsidRDefault="00502173" w:rsidP="005D394E">
            <w:pPr>
              <w:keepLines/>
              <w:widowControl w:val="0"/>
              <w:jc w:val="both"/>
              <w:rPr>
                <w:rFonts w:cstheme="minorHAnsi"/>
                <w:i/>
                <w:sz w:val="20"/>
                <w:szCs w:val="20"/>
              </w:rPr>
            </w:pPr>
          </w:p>
        </w:tc>
        <w:tc>
          <w:tcPr>
            <w:tcW w:w="3690" w:type="dxa"/>
          </w:tcPr>
          <w:p w14:paraId="241C5915" w14:textId="77777777" w:rsidR="00502173" w:rsidRPr="00FA0A88" w:rsidRDefault="00502173" w:rsidP="005D394E">
            <w:pPr>
              <w:keepLines/>
              <w:widowControl w:val="0"/>
              <w:rPr>
                <w:rFonts w:cstheme="minorHAnsi"/>
                <w:sz w:val="20"/>
                <w:szCs w:val="20"/>
              </w:rPr>
            </w:pPr>
          </w:p>
        </w:tc>
      </w:tr>
      <w:tr w:rsidR="00502173" w:rsidRPr="00FA0A88" w14:paraId="423ACA0C" w14:textId="77777777" w:rsidTr="00594521">
        <w:trPr>
          <w:cantSplit/>
          <w:trHeight w:val="20"/>
        </w:trPr>
        <w:tc>
          <w:tcPr>
            <w:tcW w:w="14305" w:type="dxa"/>
            <w:gridSpan w:val="4"/>
            <w:shd w:val="clear" w:color="auto" w:fill="F4B083" w:themeFill="accent2" w:themeFillTint="99"/>
          </w:tcPr>
          <w:p w14:paraId="05E87770" w14:textId="1DDFEE41" w:rsidR="00502173" w:rsidRPr="00FA0A88" w:rsidRDefault="00502173" w:rsidP="005D394E">
            <w:pPr>
              <w:keepLines/>
              <w:widowControl w:val="0"/>
              <w:rPr>
                <w:rFonts w:cstheme="minorHAnsi"/>
                <w:sz w:val="20"/>
                <w:szCs w:val="20"/>
              </w:rPr>
            </w:pPr>
            <w:r w:rsidRPr="00FA0A88">
              <w:rPr>
                <w:rFonts w:cstheme="minorHAnsi"/>
                <w:b/>
                <w:sz w:val="20"/>
                <w:szCs w:val="20"/>
              </w:rPr>
              <w:t>ESS 6:  BIODIVERSITY CONSERVATION AND SUSTAINABLE MANAGEMENT OF LIVING NATURAL RESOURCES</w:t>
            </w:r>
            <w:r w:rsidR="006D2168" w:rsidRPr="00FA0A88">
              <w:rPr>
                <w:rFonts w:cstheme="minorHAnsi"/>
                <w:b/>
                <w:sz w:val="20"/>
                <w:szCs w:val="20"/>
              </w:rPr>
              <w:t xml:space="preserve"> </w:t>
            </w:r>
          </w:p>
        </w:tc>
      </w:tr>
      <w:tr w:rsidR="00502173" w:rsidRPr="00FA0A88" w14:paraId="7D5B1E7D" w14:textId="77777777" w:rsidTr="00594521">
        <w:trPr>
          <w:cantSplit/>
          <w:trHeight w:val="20"/>
        </w:trPr>
        <w:tc>
          <w:tcPr>
            <w:tcW w:w="715" w:type="dxa"/>
          </w:tcPr>
          <w:p w14:paraId="12DA8B99" w14:textId="5FAC29F5" w:rsidR="00502173" w:rsidRPr="00FA0A88" w:rsidRDefault="00502173" w:rsidP="00516511">
            <w:pPr>
              <w:pStyle w:val="Normal-PRsubhead"/>
            </w:pPr>
          </w:p>
        </w:tc>
        <w:tc>
          <w:tcPr>
            <w:tcW w:w="6120" w:type="dxa"/>
          </w:tcPr>
          <w:p w14:paraId="652A229A" w14:textId="1AE3B73B" w:rsidR="00502173" w:rsidRPr="00FA0A88" w:rsidRDefault="00AA525B" w:rsidP="00516511">
            <w:pPr>
              <w:pStyle w:val="Normal-PRsubhead"/>
            </w:pPr>
            <w:r w:rsidRPr="00F80CA3">
              <w:t>This Standard is currently not relevant</w:t>
            </w:r>
          </w:p>
        </w:tc>
        <w:tc>
          <w:tcPr>
            <w:tcW w:w="3780" w:type="dxa"/>
          </w:tcPr>
          <w:p w14:paraId="1C7E6CBA" w14:textId="634B4C18" w:rsidR="00502173" w:rsidRPr="00FA0A88" w:rsidRDefault="00502173" w:rsidP="005D394E">
            <w:pPr>
              <w:keepLines/>
              <w:widowControl w:val="0"/>
              <w:rPr>
                <w:rFonts w:cstheme="minorHAnsi"/>
                <w:i/>
                <w:sz w:val="20"/>
                <w:szCs w:val="20"/>
              </w:rPr>
            </w:pPr>
          </w:p>
        </w:tc>
        <w:tc>
          <w:tcPr>
            <w:tcW w:w="3690" w:type="dxa"/>
          </w:tcPr>
          <w:p w14:paraId="391DDBEF" w14:textId="77777777" w:rsidR="00502173" w:rsidRPr="00FA0A88" w:rsidRDefault="00502173" w:rsidP="005D394E">
            <w:pPr>
              <w:keepLines/>
              <w:widowControl w:val="0"/>
              <w:rPr>
                <w:rFonts w:cstheme="minorHAnsi"/>
                <w:sz w:val="20"/>
                <w:szCs w:val="20"/>
              </w:rPr>
            </w:pPr>
          </w:p>
        </w:tc>
      </w:tr>
      <w:tr w:rsidR="00502173" w:rsidRPr="00FA0A88" w14:paraId="4D5523F9" w14:textId="77777777" w:rsidTr="00516511">
        <w:trPr>
          <w:cantSplit/>
          <w:trHeight w:val="314"/>
        </w:trPr>
        <w:tc>
          <w:tcPr>
            <w:tcW w:w="14305" w:type="dxa"/>
            <w:gridSpan w:val="4"/>
            <w:shd w:val="clear" w:color="auto" w:fill="F4B083" w:themeFill="accent2" w:themeFillTint="99"/>
          </w:tcPr>
          <w:p w14:paraId="6D1B59E9" w14:textId="24E8B71A" w:rsidR="00502173" w:rsidRPr="00FA0A88" w:rsidRDefault="00502173" w:rsidP="005D394E">
            <w:pPr>
              <w:keepLines/>
              <w:widowControl w:val="0"/>
              <w:rPr>
                <w:rFonts w:cstheme="minorHAnsi"/>
                <w:sz w:val="20"/>
                <w:szCs w:val="20"/>
              </w:rPr>
            </w:pPr>
            <w:r w:rsidRPr="00FA0A88">
              <w:rPr>
                <w:rFonts w:cstheme="minorHAnsi"/>
                <w:b/>
                <w:sz w:val="20"/>
                <w:szCs w:val="20"/>
              </w:rPr>
              <w:t>ESS 7: INDIGENOUS PEOPLES/SUB-SAHARAN AFRICAN HISTORICALLY UNDERSERVED TRADITIONAL LOCAL COMMUNITIES</w:t>
            </w:r>
            <w:r w:rsidR="006D2168" w:rsidRPr="00FA0A88">
              <w:rPr>
                <w:rFonts w:cstheme="minorHAnsi"/>
                <w:b/>
                <w:sz w:val="20"/>
                <w:szCs w:val="20"/>
              </w:rPr>
              <w:t xml:space="preserve"> </w:t>
            </w:r>
          </w:p>
        </w:tc>
      </w:tr>
      <w:tr w:rsidR="00502173" w:rsidRPr="00FA0A88" w14:paraId="3C782AFA" w14:textId="77777777" w:rsidTr="00594521">
        <w:trPr>
          <w:cantSplit/>
          <w:trHeight w:val="20"/>
        </w:trPr>
        <w:tc>
          <w:tcPr>
            <w:tcW w:w="715" w:type="dxa"/>
          </w:tcPr>
          <w:p w14:paraId="799A0A11" w14:textId="2FB9E90D" w:rsidR="00502173" w:rsidRPr="00FA0A88" w:rsidRDefault="00502173" w:rsidP="00516511">
            <w:pPr>
              <w:pStyle w:val="Normal-PRsubhead"/>
            </w:pPr>
          </w:p>
        </w:tc>
        <w:tc>
          <w:tcPr>
            <w:tcW w:w="6120" w:type="dxa"/>
          </w:tcPr>
          <w:p w14:paraId="67F1232C" w14:textId="1E85E5DF" w:rsidR="00502173" w:rsidRPr="00FA0A88" w:rsidRDefault="00F80CA3" w:rsidP="005D394E">
            <w:pPr>
              <w:keepLines/>
              <w:widowControl w:val="0"/>
              <w:rPr>
                <w:rFonts w:cstheme="minorHAnsi"/>
                <w:sz w:val="20"/>
                <w:szCs w:val="20"/>
              </w:rPr>
            </w:pPr>
            <w:r w:rsidRPr="00C2719D">
              <w:rPr>
                <w:rFonts w:cstheme="minorHAnsi"/>
                <w:sz w:val="20"/>
                <w:szCs w:val="20"/>
              </w:rPr>
              <w:t>This Standard  not relevant</w:t>
            </w:r>
          </w:p>
        </w:tc>
        <w:tc>
          <w:tcPr>
            <w:tcW w:w="3780" w:type="dxa"/>
          </w:tcPr>
          <w:p w14:paraId="158CA88D" w14:textId="55054587" w:rsidR="00502173" w:rsidRPr="00FA0A88" w:rsidRDefault="00502173" w:rsidP="005D09FE">
            <w:pPr>
              <w:keepLines/>
              <w:widowControl w:val="0"/>
              <w:rPr>
                <w:rFonts w:cstheme="minorHAnsi"/>
                <w:i/>
                <w:sz w:val="20"/>
                <w:szCs w:val="20"/>
              </w:rPr>
            </w:pPr>
          </w:p>
        </w:tc>
        <w:tc>
          <w:tcPr>
            <w:tcW w:w="3690" w:type="dxa"/>
          </w:tcPr>
          <w:p w14:paraId="502AD834" w14:textId="77777777" w:rsidR="00502173" w:rsidRPr="00FA0A88" w:rsidRDefault="00502173" w:rsidP="005D394E">
            <w:pPr>
              <w:keepLines/>
              <w:widowControl w:val="0"/>
              <w:rPr>
                <w:rFonts w:cstheme="minorHAnsi"/>
                <w:sz w:val="20"/>
                <w:szCs w:val="20"/>
              </w:rPr>
            </w:pPr>
          </w:p>
        </w:tc>
      </w:tr>
      <w:tr w:rsidR="00502173" w:rsidRPr="00FA0A88" w14:paraId="10635F8A" w14:textId="77777777" w:rsidTr="00594521">
        <w:trPr>
          <w:cantSplit/>
          <w:trHeight w:val="20"/>
        </w:trPr>
        <w:tc>
          <w:tcPr>
            <w:tcW w:w="14305" w:type="dxa"/>
            <w:gridSpan w:val="4"/>
            <w:shd w:val="clear" w:color="auto" w:fill="F4B083" w:themeFill="accent2" w:themeFillTint="99"/>
          </w:tcPr>
          <w:p w14:paraId="39E7E5B0" w14:textId="2BE16A72" w:rsidR="00502173" w:rsidRPr="00FA0A88" w:rsidRDefault="00502173" w:rsidP="005D394E">
            <w:pPr>
              <w:keepLines/>
              <w:widowControl w:val="0"/>
              <w:rPr>
                <w:rFonts w:cstheme="minorHAnsi"/>
                <w:sz w:val="20"/>
                <w:szCs w:val="20"/>
              </w:rPr>
            </w:pPr>
            <w:r w:rsidRPr="00FA0A88">
              <w:rPr>
                <w:rFonts w:cstheme="minorHAnsi"/>
                <w:b/>
                <w:sz w:val="20"/>
                <w:szCs w:val="20"/>
              </w:rPr>
              <w:t>ESS 8: CULTURAL HERITAGE</w:t>
            </w:r>
            <w:r w:rsidR="00916A95" w:rsidRPr="00FA0A88">
              <w:rPr>
                <w:rFonts w:cstheme="minorHAnsi"/>
                <w:b/>
                <w:sz w:val="20"/>
                <w:szCs w:val="20"/>
              </w:rPr>
              <w:t xml:space="preserve"> </w:t>
            </w:r>
          </w:p>
        </w:tc>
      </w:tr>
      <w:tr w:rsidR="00502173" w:rsidRPr="00FA0A88" w14:paraId="76015C48" w14:textId="77777777" w:rsidTr="00FA0A88">
        <w:trPr>
          <w:cantSplit/>
          <w:trHeight w:val="548"/>
        </w:trPr>
        <w:tc>
          <w:tcPr>
            <w:tcW w:w="715" w:type="dxa"/>
          </w:tcPr>
          <w:p w14:paraId="2B8DFDD3" w14:textId="1FA0D0B1" w:rsidR="00502173" w:rsidRPr="00FA0A88" w:rsidRDefault="00502173" w:rsidP="00516511">
            <w:pPr>
              <w:pStyle w:val="Normal-PRsubhead"/>
            </w:pPr>
          </w:p>
        </w:tc>
        <w:tc>
          <w:tcPr>
            <w:tcW w:w="6120" w:type="dxa"/>
          </w:tcPr>
          <w:p w14:paraId="014F5DE6" w14:textId="7772E44C" w:rsidR="00502173" w:rsidRPr="00FA0A88" w:rsidRDefault="00954D71" w:rsidP="00C2719D">
            <w:pPr>
              <w:keepLines/>
              <w:widowControl w:val="0"/>
            </w:pPr>
            <w:r w:rsidRPr="00C2719D">
              <w:rPr>
                <w:rFonts w:cstheme="minorHAnsi"/>
                <w:sz w:val="20"/>
                <w:szCs w:val="20"/>
              </w:rPr>
              <w:t>This Standard is currently not relevant</w:t>
            </w:r>
          </w:p>
        </w:tc>
        <w:tc>
          <w:tcPr>
            <w:tcW w:w="3780" w:type="dxa"/>
          </w:tcPr>
          <w:p w14:paraId="7DF0440D" w14:textId="01BD6C9D" w:rsidR="00502173" w:rsidRPr="00FA0A88" w:rsidRDefault="00502173" w:rsidP="005D394E">
            <w:pPr>
              <w:keepLines/>
              <w:widowControl w:val="0"/>
              <w:rPr>
                <w:rFonts w:cstheme="minorHAnsi"/>
                <w:i/>
                <w:sz w:val="20"/>
                <w:szCs w:val="20"/>
              </w:rPr>
            </w:pPr>
          </w:p>
        </w:tc>
        <w:tc>
          <w:tcPr>
            <w:tcW w:w="3690" w:type="dxa"/>
          </w:tcPr>
          <w:p w14:paraId="056F94CC" w14:textId="77777777" w:rsidR="00502173" w:rsidRPr="00FA0A88" w:rsidRDefault="00502173" w:rsidP="005D394E">
            <w:pPr>
              <w:keepLines/>
              <w:widowControl w:val="0"/>
              <w:rPr>
                <w:rFonts w:cstheme="minorHAnsi"/>
                <w:sz w:val="20"/>
                <w:szCs w:val="20"/>
              </w:rPr>
            </w:pPr>
          </w:p>
        </w:tc>
      </w:tr>
    </w:tbl>
    <w:p w14:paraId="6468A7BE" w14:textId="49E8A602" w:rsidR="002A07CC" w:rsidRPr="00FA0A88" w:rsidRDefault="002A07CC">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FA0A88" w14:paraId="6DBCFA76" w14:textId="77777777" w:rsidTr="00516511">
        <w:trPr>
          <w:cantSplit/>
          <w:trHeight w:val="215"/>
        </w:trPr>
        <w:tc>
          <w:tcPr>
            <w:tcW w:w="14305" w:type="dxa"/>
            <w:gridSpan w:val="4"/>
            <w:shd w:val="clear" w:color="auto" w:fill="F4B083" w:themeFill="accent2" w:themeFillTint="99"/>
          </w:tcPr>
          <w:p w14:paraId="737BC18C" w14:textId="20CC4283" w:rsidR="00502173" w:rsidRPr="00FA0A88" w:rsidRDefault="00502173" w:rsidP="005D394E">
            <w:pPr>
              <w:keepLines/>
              <w:widowControl w:val="0"/>
              <w:rPr>
                <w:rFonts w:cstheme="minorHAnsi"/>
                <w:sz w:val="20"/>
                <w:szCs w:val="20"/>
              </w:rPr>
            </w:pPr>
            <w:r w:rsidRPr="00FA0A88">
              <w:rPr>
                <w:rFonts w:cstheme="minorHAnsi"/>
                <w:b/>
                <w:sz w:val="20"/>
                <w:szCs w:val="20"/>
              </w:rPr>
              <w:t>ESS 9: FINANCIAL INTERMEDIARIES</w:t>
            </w:r>
            <w:r w:rsidR="00916A95" w:rsidRPr="00FA0A88">
              <w:rPr>
                <w:rFonts w:cstheme="minorHAnsi"/>
                <w:b/>
                <w:sz w:val="20"/>
                <w:szCs w:val="20"/>
              </w:rPr>
              <w:t xml:space="preserve"> </w:t>
            </w:r>
          </w:p>
        </w:tc>
      </w:tr>
      <w:tr w:rsidR="00502173" w:rsidRPr="00FA0A88" w14:paraId="7B7FE3F8" w14:textId="77777777" w:rsidTr="00594521">
        <w:trPr>
          <w:cantSplit/>
          <w:trHeight w:val="20"/>
        </w:trPr>
        <w:tc>
          <w:tcPr>
            <w:tcW w:w="715" w:type="dxa"/>
          </w:tcPr>
          <w:p w14:paraId="028654EC" w14:textId="4AB860F2" w:rsidR="00502173" w:rsidRPr="00FA0A88" w:rsidRDefault="00502173" w:rsidP="00516511">
            <w:pPr>
              <w:pStyle w:val="Normal-PRsubhead"/>
            </w:pPr>
          </w:p>
        </w:tc>
        <w:tc>
          <w:tcPr>
            <w:tcW w:w="6120" w:type="dxa"/>
          </w:tcPr>
          <w:p w14:paraId="7674A5D7" w14:textId="43782A83" w:rsidR="00502173" w:rsidRPr="00FA0A88" w:rsidRDefault="0021263D" w:rsidP="00C2719D">
            <w:pPr>
              <w:keepLines/>
              <w:widowControl w:val="0"/>
            </w:pPr>
            <w:r w:rsidRPr="00C2719D">
              <w:rPr>
                <w:rFonts w:cstheme="minorHAnsi"/>
                <w:sz w:val="20"/>
                <w:szCs w:val="20"/>
              </w:rPr>
              <w:t>This Standard is currently not relevant</w:t>
            </w:r>
          </w:p>
        </w:tc>
        <w:tc>
          <w:tcPr>
            <w:tcW w:w="3780" w:type="dxa"/>
          </w:tcPr>
          <w:p w14:paraId="740B2D94" w14:textId="0471B8CE" w:rsidR="00502173" w:rsidRPr="00FA0A88" w:rsidRDefault="00502173" w:rsidP="005D394E">
            <w:pPr>
              <w:keepLines/>
              <w:widowControl w:val="0"/>
              <w:rPr>
                <w:rFonts w:cstheme="minorHAnsi"/>
                <w:sz w:val="20"/>
                <w:szCs w:val="20"/>
              </w:rPr>
            </w:pPr>
          </w:p>
        </w:tc>
        <w:tc>
          <w:tcPr>
            <w:tcW w:w="3690" w:type="dxa"/>
          </w:tcPr>
          <w:p w14:paraId="6BE07D13" w14:textId="77777777" w:rsidR="00502173" w:rsidRPr="00FA0A88" w:rsidRDefault="00502173" w:rsidP="005D394E">
            <w:pPr>
              <w:keepLines/>
              <w:widowControl w:val="0"/>
              <w:rPr>
                <w:rFonts w:cstheme="minorHAnsi"/>
                <w:sz w:val="20"/>
                <w:szCs w:val="20"/>
              </w:rPr>
            </w:pPr>
          </w:p>
        </w:tc>
      </w:tr>
      <w:tr w:rsidR="00502173" w:rsidRPr="00FA0A88" w14:paraId="2EF131B1" w14:textId="77777777" w:rsidTr="00516511">
        <w:trPr>
          <w:cantSplit/>
          <w:trHeight w:val="233"/>
        </w:trPr>
        <w:tc>
          <w:tcPr>
            <w:tcW w:w="14305" w:type="dxa"/>
            <w:gridSpan w:val="4"/>
            <w:shd w:val="clear" w:color="auto" w:fill="F4B083" w:themeFill="accent2" w:themeFillTint="99"/>
          </w:tcPr>
          <w:p w14:paraId="640856A7" w14:textId="456F8FE7" w:rsidR="00502173" w:rsidRPr="00FA0A88" w:rsidRDefault="00502173" w:rsidP="005D394E">
            <w:pPr>
              <w:keepLines/>
              <w:widowControl w:val="0"/>
              <w:rPr>
                <w:rFonts w:cstheme="minorHAnsi"/>
                <w:sz w:val="20"/>
                <w:szCs w:val="20"/>
              </w:rPr>
            </w:pPr>
            <w:r w:rsidRPr="00FA0A88">
              <w:rPr>
                <w:rFonts w:cstheme="minorHAnsi"/>
                <w:b/>
                <w:sz w:val="20"/>
                <w:szCs w:val="20"/>
              </w:rPr>
              <w:t>ESS 10: STAKEHOLDER ENGAGEMENT AND INFORMATION DISCLOSURE</w:t>
            </w:r>
          </w:p>
        </w:tc>
      </w:tr>
      <w:tr w:rsidR="00502173" w:rsidRPr="00FA0A88" w14:paraId="046527AF" w14:textId="77777777" w:rsidTr="00594521">
        <w:trPr>
          <w:cantSplit/>
          <w:trHeight w:val="20"/>
        </w:trPr>
        <w:tc>
          <w:tcPr>
            <w:tcW w:w="715" w:type="dxa"/>
          </w:tcPr>
          <w:p w14:paraId="1F86D345" w14:textId="77777777" w:rsidR="00502173" w:rsidRPr="00FA0A88" w:rsidRDefault="00502173" w:rsidP="00516511">
            <w:pPr>
              <w:pStyle w:val="Normal-PRsubhead"/>
              <w:rPr>
                <w:b/>
              </w:rPr>
            </w:pPr>
            <w:r w:rsidRPr="00FA0A88">
              <w:t>10.1</w:t>
            </w:r>
          </w:p>
        </w:tc>
        <w:tc>
          <w:tcPr>
            <w:tcW w:w="6120" w:type="dxa"/>
          </w:tcPr>
          <w:p w14:paraId="02BB0D84" w14:textId="005972B6" w:rsidR="00502173" w:rsidRPr="00373802" w:rsidRDefault="00502173" w:rsidP="00373802">
            <w:pPr>
              <w:keepLines/>
              <w:widowControl w:val="0"/>
              <w:rPr>
                <w:rFonts w:eastAsia="Times New Roman" w:cstheme="minorHAnsi"/>
                <w:b/>
                <w:bCs/>
                <w:color w:val="4472C4" w:themeColor="accent1"/>
                <w:sz w:val="20"/>
                <w:szCs w:val="20"/>
              </w:rPr>
            </w:pPr>
            <w:r w:rsidRPr="00373802">
              <w:rPr>
                <w:rFonts w:eastAsia="Times New Roman" w:cstheme="minorHAnsi"/>
                <w:b/>
                <w:bCs/>
                <w:color w:val="4472C4" w:themeColor="accent1"/>
                <w:sz w:val="20"/>
                <w:szCs w:val="20"/>
              </w:rPr>
              <w:t>S</w:t>
            </w:r>
            <w:r w:rsidR="000D3122" w:rsidRPr="00373802">
              <w:rPr>
                <w:rFonts w:eastAsia="Times New Roman" w:cstheme="minorHAnsi"/>
                <w:b/>
                <w:bCs/>
                <w:color w:val="4472C4" w:themeColor="accent1"/>
                <w:sz w:val="20"/>
                <w:szCs w:val="20"/>
              </w:rPr>
              <w:t xml:space="preserve">TAKEHOLDER </w:t>
            </w:r>
            <w:r w:rsidRPr="00373802">
              <w:rPr>
                <w:rFonts w:eastAsia="Times New Roman" w:cstheme="minorHAnsi"/>
                <w:b/>
                <w:bCs/>
                <w:color w:val="4472C4" w:themeColor="accent1"/>
                <w:sz w:val="20"/>
                <w:szCs w:val="20"/>
              </w:rPr>
              <w:t>E</w:t>
            </w:r>
            <w:r w:rsidR="000D3122" w:rsidRPr="00373802">
              <w:rPr>
                <w:rFonts w:eastAsia="Times New Roman" w:cstheme="minorHAnsi"/>
                <w:b/>
                <w:bCs/>
                <w:color w:val="4472C4" w:themeColor="accent1"/>
                <w:sz w:val="20"/>
                <w:szCs w:val="20"/>
              </w:rPr>
              <w:t xml:space="preserve">NGAGEMENT </w:t>
            </w:r>
            <w:r w:rsidRPr="00373802">
              <w:rPr>
                <w:rFonts w:eastAsia="Times New Roman" w:cstheme="minorHAnsi"/>
                <w:b/>
                <w:bCs/>
                <w:color w:val="4472C4" w:themeColor="accent1"/>
                <w:sz w:val="20"/>
                <w:szCs w:val="20"/>
              </w:rPr>
              <w:t>P</w:t>
            </w:r>
            <w:r w:rsidR="000D3122" w:rsidRPr="00373802">
              <w:rPr>
                <w:rFonts w:eastAsia="Times New Roman" w:cstheme="minorHAnsi"/>
                <w:b/>
                <w:bCs/>
                <w:color w:val="4472C4" w:themeColor="accent1"/>
                <w:sz w:val="20"/>
                <w:szCs w:val="20"/>
              </w:rPr>
              <w:t>LAN</w:t>
            </w:r>
            <w:r w:rsidRPr="00373802">
              <w:rPr>
                <w:rFonts w:eastAsia="Times New Roman" w:cstheme="minorHAnsi"/>
                <w:b/>
                <w:bCs/>
                <w:color w:val="4472C4" w:themeColor="accent1"/>
                <w:sz w:val="20"/>
                <w:szCs w:val="20"/>
              </w:rPr>
              <w:t xml:space="preserve"> PREPARATION AND IMPLEMENTATION</w:t>
            </w:r>
          </w:p>
          <w:p w14:paraId="1263D0B7" w14:textId="06FA98F7" w:rsidR="00502173" w:rsidRPr="00FA0A88" w:rsidRDefault="007858C0" w:rsidP="00516511">
            <w:pPr>
              <w:pStyle w:val="Normal-PRsubhead"/>
            </w:pPr>
            <w:r>
              <w:t>I</w:t>
            </w:r>
            <w:r w:rsidRPr="00FA0A88">
              <w:t xml:space="preserve">mplement </w:t>
            </w:r>
            <w:r>
              <w:t>the measures contained</w:t>
            </w:r>
            <w:r w:rsidR="00453E9A">
              <w:t xml:space="preserve"> in the </w:t>
            </w:r>
            <w:r w:rsidR="00453E9A" w:rsidRPr="00FA0A88">
              <w:t>Stakeholder</w:t>
            </w:r>
            <w:r w:rsidR="00502173" w:rsidRPr="00FA0A88">
              <w:t xml:space="preserve"> Engagement Plan (SEP).</w:t>
            </w:r>
          </w:p>
        </w:tc>
        <w:tc>
          <w:tcPr>
            <w:tcW w:w="3780" w:type="dxa"/>
          </w:tcPr>
          <w:p w14:paraId="03D27A23" w14:textId="1B82C2DA" w:rsidR="00EE3CD7" w:rsidRDefault="00EE3CD7" w:rsidP="00EE3CD7">
            <w:pPr>
              <w:keepLines/>
              <w:widowControl w:val="0"/>
              <w:rPr>
                <w:rFonts w:cstheme="minorHAnsi"/>
                <w:iCs/>
                <w:sz w:val="20"/>
                <w:szCs w:val="20"/>
              </w:rPr>
            </w:pPr>
            <w:r>
              <w:rPr>
                <w:rFonts w:cstheme="minorHAnsi"/>
                <w:iCs/>
                <w:sz w:val="20"/>
                <w:szCs w:val="20"/>
              </w:rPr>
              <w:t xml:space="preserve">October </w:t>
            </w:r>
            <w:r w:rsidRPr="00616BDA">
              <w:rPr>
                <w:rFonts w:cstheme="minorHAnsi"/>
                <w:iCs/>
                <w:sz w:val="20"/>
                <w:szCs w:val="20"/>
              </w:rPr>
              <w:t xml:space="preserve">30, 2019. </w:t>
            </w:r>
          </w:p>
          <w:p w14:paraId="3CA430B6" w14:textId="77777777" w:rsidR="00EE3CD7" w:rsidRDefault="00EE3CD7" w:rsidP="00EE3CD7">
            <w:pPr>
              <w:keepLines/>
              <w:widowControl w:val="0"/>
              <w:rPr>
                <w:rFonts w:cstheme="minorHAnsi"/>
                <w:iCs/>
                <w:sz w:val="20"/>
                <w:szCs w:val="20"/>
              </w:rPr>
            </w:pPr>
          </w:p>
          <w:p w14:paraId="1A4ABD5F" w14:textId="4AA3A8CF" w:rsidR="00502173" w:rsidRPr="00FA0A88" w:rsidRDefault="004B4D36" w:rsidP="00EE3CD7">
            <w:pPr>
              <w:keepLines/>
              <w:widowControl w:val="0"/>
              <w:rPr>
                <w:rFonts w:cstheme="minorHAnsi"/>
                <w:i/>
                <w:sz w:val="20"/>
                <w:szCs w:val="20"/>
              </w:rPr>
            </w:pPr>
            <w:r>
              <w:rPr>
                <w:rFonts w:cstheme="minorHAnsi"/>
                <w:iCs/>
                <w:sz w:val="20"/>
                <w:szCs w:val="20"/>
              </w:rPr>
              <w:t xml:space="preserve">Review </w:t>
            </w:r>
            <w:r w:rsidR="00EE3CD7" w:rsidRPr="00616BDA">
              <w:rPr>
                <w:rFonts w:cstheme="minorHAnsi"/>
                <w:iCs/>
                <w:sz w:val="20"/>
                <w:szCs w:val="20"/>
              </w:rPr>
              <w:t>Maintained and implemented throughout Project implementation.</w:t>
            </w:r>
          </w:p>
        </w:tc>
        <w:tc>
          <w:tcPr>
            <w:tcW w:w="3690" w:type="dxa"/>
          </w:tcPr>
          <w:p w14:paraId="404FA487" w14:textId="6D638F09" w:rsidR="00502173" w:rsidRPr="00516511" w:rsidRDefault="00F32309" w:rsidP="005D394E">
            <w:pPr>
              <w:keepLines/>
              <w:widowControl w:val="0"/>
              <w:rPr>
                <w:rFonts w:cstheme="minorHAnsi"/>
                <w:sz w:val="20"/>
                <w:szCs w:val="20"/>
              </w:rPr>
            </w:pPr>
            <w:r w:rsidRPr="00516511">
              <w:rPr>
                <w:rFonts w:cstheme="minorHAnsi"/>
                <w:sz w:val="20"/>
              </w:rPr>
              <w:t>Ministry</w:t>
            </w:r>
            <w:r w:rsidR="00EE3CD7" w:rsidRPr="00516511">
              <w:rPr>
                <w:rFonts w:cstheme="minorHAnsi"/>
                <w:sz w:val="20"/>
              </w:rPr>
              <w:t xml:space="preserve"> of Education</w:t>
            </w:r>
          </w:p>
        </w:tc>
      </w:tr>
      <w:tr w:rsidR="00502173" w:rsidRPr="00FA0A88" w14:paraId="41181087" w14:textId="77777777" w:rsidTr="00BE3F00">
        <w:trPr>
          <w:cantSplit/>
          <w:trHeight w:val="20"/>
        </w:trPr>
        <w:tc>
          <w:tcPr>
            <w:tcW w:w="715" w:type="dxa"/>
          </w:tcPr>
          <w:p w14:paraId="0FAA416D" w14:textId="6F182D24" w:rsidR="00502173" w:rsidRPr="00FA0A88" w:rsidRDefault="00502173" w:rsidP="00516511">
            <w:pPr>
              <w:pStyle w:val="Normal-PRsubhead"/>
            </w:pPr>
            <w:r w:rsidRPr="00E45793">
              <w:t>10.</w:t>
            </w:r>
            <w:r w:rsidR="00947023" w:rsidRPr="00E45793">
              <w:t>2</w:t>
            </w:r>
          </w:p>
        </w:tc>
        <w:tc>
          <w:tcPr>
            <w:tcW w:w="6120" w:type="dxa"/>
          </w:tcPr>
          <w:p w14:paraId="119CBC8E" w14:textId="67700ABC" w:rsidR="00502173" w:rsidRPr="00FA0A88" w:rsidRDefault="00502173" w:rsidP="00516511">
            <w:pPr>
              <w:pStyle w:val="Normal-PRsubhead"/>
              <w:rPr>
                <w:b/>
              </w:rPr>
            </w:pPr>
            <w:r w:rsidRPr="00E45793">
              <w:rPr>
                <w:rFonts w:eastAsia="Times New Roman"/>
                <w:b/>
                <w:bCs/>
                <w:color w:val="4472C4" w:themeColor="accent1"/>
                <w:lang w:val="en-US"/>
              </w:rPr>
              <w:t>PROJECT GRIEVANCE MECHANISM</w:t>
            </w:r>
            <w:r w:rsidRPr="00FA0A88">
              <w:t xml:space="preserve">: </w:t>
            </w:r>
            <w:r w:rsidR="00E45793">
              <w:t>Establish</w:t>
            </w:r>
            <w:r w:rsidR="000C4140" w:rsidRPr="00FA0A88">
              <w:t>, maintain and operate a</w:t>
            </w:r>
            <w:r w:rsidRPr="00FA0A88">
              <w:t xml:space="preserve"> grievance mechanism</w:t>
            </w:r>
            <w:r w:rsidR="000C4140" w:rsidRPr="00FA0A88">
              <w:t>, as described in the SEP</w:t>
            </w:r>
            <w:r w:rsidRPr="00FA0A88">
              <w:t>.</w:t>
            </w:r>
          </w:p>
        </w:tc>
        <w:tc>
          <w:tcPr>
            <w:tcW w:w="3780" w:type="dxa"/>
          </w:tcPr>
          <w:p w14:paraId="52200FFD" w14:textId="08487DD9" w:rsidR="00502173" w:rsidRPr="00FA0A88" w:rsidRDefault="007A2EA3" w:rsidP="00BE3F00">
            <w:pPr>
              <w:keepLines/>
              <w:widowControl w:val="0"/>
              <w:rPr>
                <w:rFonts w:cstheme="minorHAnsi"/>
                <w:sz w:val="20"/>
                <w:szCs w:val="20"/>
              </w:rPr>
            </w:pPr>
            <w:r>
              <w:rPr>
                <w:rFonts w:cstheme="minorHAnsi"/>
                <w:iCs/>
                <w:sz w:val="20"/>
                <w:szCs w:val="20"/>
              </w:rPr>
              <w:t>The GRM is part of the SEP</w:t>
            </w:r>
            <w:r w:rsidR="00453E9A">
              <w:rPr>
                <w:rFonts w:cstheme="minorHAnsi"/>
                <w:iCs/>
                <w:sz w:val="20"/>
                <w:szCs w:val="20"/>
              </w:rPr>
              <w:t xml:space="preserve"> and is already in place (Oct 30)</w:t>
            </w:r>
            <w:r w:rsidR="003F72CB">
              <w:rPr>
                <w:rFonts w:cstheme="minorHAnsi"/>
                <w:iCs/>
                <w:sz w:val="20"/>
                <w:szCs w:val="20"/>
              </w:rPr>
              <w:t>. It will be m</w:t>
            </w:r>
            <w:r w:rsidR="00EE3CD7" w:rsidRPr="00616BDA">
              <w:rPr>
                <w:rFonts w:cstheme="minorHAnsi"/>
                <w:iCs/>
                <w:sz w:val="20"/>
                <w:szCs w:val="20"/>
              </w:rPr>
              <w:t>aintained and implemented throughout Project implementation.</w:t>
            </w:r>
          </w:p>
        </w:tc>
        <w:tc>
          <w:tcPr>
            <w:tcW w:w="3690" w:type="dxa"/>
          </w:tcPr>
          <w:p w14:paraId="33124ECD" w14:textId="1F734A14" w:rsidR="00502173" w:rsidRPr="00516511" w:rsidRDefault="00F32309" w:rsidP="005D394E">
            <w:pPr>
              <w:keepLines/>
              <w:widowControl w:val="0"/>
              <w:rPr>
                <w:rFonts w:cstheme="minorHAnsi"/>
                <w:sz w:val="20"/>
                <w:szCs w:val="20"/>
              </w:rPr>
            </w:pPr>
            <w:r w:rsidRPr="00516511">
              <w:rPr>
                <w:rFonts w:cstheme="minorHAnsi"/>
                <w:sz w:val="20"/>
              </w:rPr>
              <w:t>Ministry</w:t>
            </w:r>
            <w:r w:rsidR="00EE3CD7" w:rsidRPr="00516511">
              <w:rPr>
                <w:rFonts w:cstheme="minorHAnsi"/>
                <w:sz w:val="20"/>
              </w:rPr>
              <w:t xml:space="preserve"> of Education</w:t>
            </w:r>
          </w:p>
        </w:tc>
      </w:tr>
      <w:tr w:rsidR="00502173" w:rsidRPr="00FA0A88" w14:paraId="685BCC6E" w14:textId="77777777" w:rsidTr="00516511">
        <w:trPr>
          <w:cantSplit/>
          <w:trHeight w:val="206"/>
        </w:trPr>
        <w:tc>
          <w:tcPr>
            <w:tcW w:w="14305" w:type="dxa"/>
            <w:gridSpan w:val="4"/>
            <w:shd w:val="clear" w:color="auto" w:fill="F4B083" w:themeFill="accent2" w:themeFillTint="99"/>
          </w:tcPr>
          <w:p w14:paraId="3E9B56C0" w14:textId="227FD593" w:rsidR="00516511" w:rsidRPr="00FA0A88" w:rsidRDefault="00502173" w:rsidP="005D394E">
            <w:pPr>
              <w:keepLines/>
              <w:widowControl w:val="0"/>
              <w:rPr>
                <w:rFonts w:cstheme="minorHAnsi"/>
                <w:b/>
                <w:sz w:val="20"/>
                <w:szCs w:val="20"/>
              </w:rPr>
            </w:pPr>
            <w:r w:rsidRPr="00FA0A88">
              <w:rPr>
                <w:rFonts w:cstheme="minorHAnsi"/>
                <w:b/>
                <w:sz w:val="20"/>
                <w:szCs w:val="20"/>
              </w:rPr>
              <w:t>CAPACITY SUPPORT (TRAINING)</w:t>
            </w:r>
          </w:p>
        </w:tc>
      </w:tr>
      <w:tr w:rsidR="00502173" w:rsidRPr="00FA0A88" w14:paraId="2F1B42F9" w14:textId="77777777" w:rsidTr="00594521">
        <w:trPr>
          <w:cantSplit/>
          <w:trHeight w:val="20"/>
        </w:trPr>
        <w:tc>
          <w:tcPr>
            <w:tcW w:w="715" w:type="dxa"/>
          </w:tcPr>
          <w:p w14:paraId="214B243A" w14:textId="0217A9C2" w:rsidR="00502173" w:rsidRPr="00FA0A88" w:rsidRDefault="000C4140" w:rsidP="00516511">
            <w:pPr>
              <w:pStyle w:val="Normal-PRsubhead"/>
            </w:pPr>
            <w:r w:rsidRPr="00E45793">
              <w:t>CS</w:t>
            </w:r>
            <w:r w:rsidR="00502173" w:rsidRPr="00E45793">
              <w:t>1</w:t>
            </w:r>
          </w:p>
        </w:tc>
        <w:tc>
          <w:tcPr>
            <w:tcW w:w="6120" w:type="dxa"/>
          </w:tcPr>
          <w:p w14:paraId="17C8F98B" w14:textId="17179161" w:rsidR="00502173" w:rsidRPr="00E45793" w:rsidRDefault="007E7469" w:rsidP="005D394E">
            <w:pPr>
              <w:keepLines/>
              <w:widowControl w:val="0"/>
              <w:rPr>
                <w:rFonts w:cstheme="minorHAnsi"/>
                <w:sz w:val="20"/>
                <w:szCs w:val="20"/>
              </w:rPr>
            </w:pPr>
            <w:r w:rsidRPr="00E45793">
              <w:rPr>
                <w:rFonts w:cstheme="minorHAnsi"/>
                <w:sz w:val="20"/>
                <w:szCs w:val="20"/>
              </w:rPr>
              <w:t>T</w:t>
            </w:r>
            <w:r w:rsidR="00502173" w:rsidRPr="00E45793">
              <w:rPr>
                <w:rFonts w:cstheme="minorHAnsi"/>
                <w:sz w:val="20"/>
                <w:szCs w:val="20"/>
              </w:rPr>
              <w:t xml:space="preserve">raining </w:t>
            </w:r>
            <w:r w:rsidR="000C4140" w:rsidRPr="00E45793">
              <w:rPr>
                <w:rFonts w:cstheme="minorHAnsi"/>
                <w:sz w:val="20"/>
                <w:szCs w:val="20"/>
              </w:rPr>
              <w:t>on</w:t>
            </w:r>
            <w:r w:rsidR="00502173" w:rsidRPr="00E45793">
              <w:rPr>
                <w:rFonts w:cstheme="minorHAnsi"/>
                <w:sz w:val="20"/>
                <w:szCs w:val="20"/>
              </w:rPr>
              <w:t>:</w:t>
            </w:r>
          </w:p>
          <w:p w14:paraId="15FADC22" w14:textId="278377A5" w:rsidR="00502173" w:rsidRPr="00E45793" w:rsidRDefault="002B4098" w:rsidP="00AE7B26">
            <w:pPr>
              <w:pStyle w:val="ListParagraph"/>
              <w:keepLines/>
              <w:widowControl w:val="0"/>
              <w:numPr>
                <w:ilvl w:val="0"/>
                <w:numId w:val="20"/>
              </w:numPr>
              <w:spacing w:after="0"/>
              <w:rPr>
                <w:rFonts w:cstheme="minorHAnsi"/>
                <w:sz w:val="20"/>
                <w:szCs w:val="20"/>
              </w:rPr>
            </w:pPr>
            <w:r w:rsidRPr="00E45793">
              <w:rPr>
                <w:rFonts w:cstheme="minorHAnsi"/>
                <w:sz w:val="20"/>
                <w:szCs w:val="20"/>
              </w:rPr>
              <w:t xml:space="preserve">Environmental and Social Standards </w:t>
            </w:r>
          </w:p>
          <w:p w14:paraId="7991C9E8" w14:textId="44D26ACC" w:rsidR="001B5B02" w:rsidRPr="00E45793" w:rsidRDefault="001B5B02" w:rsidP="00AE7B26">
            <w:pPr>
              <w:pStyle w:val="ListParagraph"/>
              <w:keepLines/>
              <w:widowControl w:val="0"/>
              <w:numPr>
                <w:ilvl w:val="0"/>
                <w:numId w:val="20"/>
              </w:numPr>
              <w:spacing w:after="0"/>
              <w:rPr>
                <w:rFonts w:cstheme="minorHAnsi"/>
                <w:sz w:val="20"/>
                <w:szCs w:val="20"/>
              </w:rPr>
            </w:pPr>
            <w:r w:rsidRPr="00E45793">
              <w:rPr>
                <w:rFonts w:cstheme="minorHAnsi"/>
                <w:sz w:val="20"/>
                <w:szCs w:val="20"/>
              </w:rPr>
              <w:t xml:space="preserve">Citizen engagement and stakeholder engagement. </w:t>
            </w:r>
          </w:p>
          <w:p w14:paraId="02279F2A" w14:textId="77777777" w:rsidR="00AE7B26" w:rsidRPr="00E45793" w:rsidRDefault="00AE7B26" w:rsidP="00AE7B26">
            <w:pPr>
              <w:pStyle w:val="ListParagraph"/>
              <w:widowControl w:val="0"/>
              <w:numPr>
                <w:ilvl w:val="0"/>
                <w:numId w:val="20"/>
              </w:numPr>
              <w:spacing w:after="0"/>
              <w:rPr>
                <w:rFonts w:cstheme="minorHAnsi"/>
                <w:sz w:val="20"/>
                <w:szCs w:val="20"/>
              </w:rPr>
            </w:pPr>
            <w:r w:rsidRPr="00E45793">
              <w:rPr>
                <w:rFonts w:cstheme="minorHAnsi"/>
                <w:sz w:val="20"/>
                <w:szCs w:val="20"/>
              </w:rPr>
              <w:t>Monitoring and Evaluation</w:t>
            </w:r>
          </w:p>
          <w:p w14:paraId="5AB9789F" w14:textId="154B8F47" w:rsidR="00947023" w:rsidRPr="00E45793" w:rsidRDefault="00947023" w:rsidP="00721362">
            <w:pPr>
              <w:keepLines/>
              <w:widowControl w:val="0"/>
              <w:rPr>
                <w:rFonts w:cstheme="minorHAnsi"/>
                <w:sz w:val="20"/>
                <w:szCs w:val="20"/>
              </w:rPr>
            </w:pPr>
          </w:p>
        </w:tc>
        <w:tc>
          <w:tcPr>
            <w:tcW w:w="3780" w:type="dxa"/>
          </w:tcPr>
          <w:p w14:paraId="18555B68" w14:textId="46AE2FDE" w:rsidR="00502173" w:rsidRPr="00E45793" w:rsidRDefault="00AD7131" w:rsidP="005D394E">
            <w:pPr>
              <w:keepLines/>
              <w:widowControl w:val="0"/>
              <w:rPr>
                <w:rFonts w:cstheme="minorHAnsi"/>
                <w:sz w:val="20"/>
                <w:szCs w:val="20"/>
              </w:rPr>
            </w:pPr>
            <w:r w:rsidRPr="00E45793">
              <w:rPr>
                <w:rFonts w:cstheme="minorHAnsi"/>
                <w:sz w:val="20"/>
                <w:szCs w:val="20"/>
              </w:rPr>
              <w:t xml:space="preserve"> </w:t>
            </w:r>
            <w:r w:rsidR="00E45793">
              <w:rPr>
                <w:rFonts w:cstheme="minorHAnsi"/>
                <w:sz w:val="20"/>
                <w:szCs w:val="20"/>
              </w:rPr>
              <w:t xml:space="preserve">Once the </w:t>
            </w:r>
            <w:r w:rsidR="00AE7B26" w:rsidRPr="00E45793">
              <w:rPr>
                <w:rFonts w:cstheme="minorHAnsi"/>
                <w:sz w:val="20"/>
                <w:szCs w:val="20"/>
              </w:rPr>
              <w:t xml:space="preserve">of PIU </w:t>
            </w:r>
            <w:r w:rsidR="00E45793">
              <w:rPr>
                <w:rFonts w:cstheme="minorHAnsi"/>
                <w:sz w:val="20"/>
                <w:szCs w:val="20"/>
              </w:rPr>
              <w:t>is established and staffed</w:t>
            </w:r>
            <w:r w:rsidR="00AE7B26" w:rsidRPr="00E45793">
              <w:rPr>
                <w:rFonts w:cstheme="minorHAnsi"/>
                <w:sz w:val="20"/>
                <w:szCs w:val="20"/>
              </w:rPr>
              <w:t xml:space="preserve">, especially, </w:t>
            </w:r>
            <w:r w:rsidR="00E45793">
              <w:rPr>
                <w:rFonts w:cstheme="minorHAnsi"/>
                <w:sz w:val="20"/>
                <w:szCs w:val="20"/>
              </w:rPr>
              <w:t>P</w:t>
            </w:r>
            <w:r w:rsidR="00AE7B26" w:rsidRPr="00E45793">
              <w:rPr>
                <w:rFonts w:cstheme="minorHAnsi"/>
                <w:sz w:val="20"/>
                <w:szCs w:val="20"/>
              </w:rPr>
              <w:t>roject coordinator, technical officer, procurement specialist and Safeguards Specialists</w:t>
            </w:r>
          </w:p>
        </w:tc>
        <w:tc>
          <w:tcPr>
            <w:tcW w:w="3690" w:type="dxa"/>
          </w:tcPr>
          <w:p w14:paraId="1DA070FC" w14:textId="24ED93D8" w:rsidR="00502173" w:rsidRPr="00E45793" w:rsidRDefault="00F32309" w:rsidP="005D394E">
            <w:pPr>
              <w:keepLines/>
              <w:widowControl w:val="0"/>
              <w:rPr>
                <w:rFonts w:cstheme="minorHAnsi"/>
                <w:sz w:val="20"/>
                <w:szCs w:val="20"/>
              </w:rPr>
            </w:pPr>
            <w:r>
              <w:rPr>
                <w:rFonts w:cstheme="minorHAnsi"/>
                <w:sz w:val="20"/>
                <w:szCs w:val="20"/>
              </w:rPr>
              <w:t>Ministry</w:t>
            </w:r>
            <w:r w:rsidR="00AE7B26" w:rsidRPr="00E45793">
              <w:rPr>
                <w:rFonts w:cstheme="minorHAnsi"/>
                <w:sz w:val="20"/>
                <w:szCs w:val="20"/>
              </w:rPr>
              <w:t xml:space="preserve"> of Education</w:t>
            </w:r>
          </w:p>
        </w:tc>
      </w:tr>
    </w:tbl>
    <w:p w14:paraId="67532740" w14:textId="77777777" w:rsidR="00701091" w:rsidRDefault="00701091"/>
    <w:sectPr w:rsidR="00701091"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6954B" w14:textId="77777777" w:rsidR="0087050F" w:rsidRDefault="0087050F" w:rsidP="00E35CB2">
      <w:r>
        <w:separator/>
      </w:r>
    </w:p>
    <w:p w14:paraId="0D1A5503" w14:textId="77777777" w:rsidR="0087050F" w:rsidRDefault="0087050F"/>
    <w:p w14:paraId="463C03D2" w14:textId="77777777" w:rsidR="0087050F" w:rsidRDefault="0087050F"/>
    <w:p w14:paraId="076B5DD1" w14:textId="77777777" w:rsidR="0087050F" w:rsidRDefault="0087050F"/>
    <w:p w14:paraId="3CFADC30" w14:textId="77777777" w:rsidR="0087050F" w:rsidRDefault="0087050F"/>
  </w:endnote>
  <w:endnote w:type="continuationSeparator" w:id="0">
    <w:p w14:paraId="2597C2A1" w14:textId="77777777" w:rsidR="0087050F" w:rsidRDefault="0087050F" w:rsidP="00E35CB2">
      <w:r>
        <w:continuationSeparator/>
      </w:r>
    </w:p>
    <w:p w14:paraId="4A1260FF" w14:textId="77777777" w:rsidR="0087050F" w:rsidRDefault="0087050F"/>
    <w:p w14:paraId="3E1FED8E" w14:textId="77777777" w:rsidR="0087050F" w:rsidRDefault="0087050F"/>
    <w:p w14:paraId="69E92F09" w14:textId="77777777" w:rsidR="0087050F" w:rsidRDefault="0087050F"/>
    <w:p w14:paraId="31BE4CEE" w14:textId="77777777" w:rsidR="0087050F" w:rsidRDefault="00870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orbel">
    <w:altName w:val="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841482"/>
      <w:docPartObj>
        <w:docPartGallery w:val="Page Numbers (Bottom of Page)"/>
        <w:docPartUnique/>
      </w:docPartObj>
    </w:sdtPr>
    <w:sdtEndPr>
      <w:rPr>
        <w:color w:val="808080" w:themeColor="background1" w:themeShade="80"/>
        <w:spacing w:val="60"/>
      </w:rPr>
    </w:sdtEndPr>
    <w:sdtContent>
      <w:p w14:paraId="7FB8E59C" w14:textId="7F558D66" w:rsidR="00201297" w:rsidRDefault="0020129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A4387" w:rsidRPr="009A4387">
          <w:rPr>
            <w:b/>
            <w:bCs/>
            <w:noProof/>
          </w:rPr>
          <w:t>1</w:t>
        </w:r>
        <w:r>
          <w:rPr>
            <w:b/>
            <w:bCs/>
            <w:noProof/>
          </w:rPr>
          <w:fldChar w:fldCharType="end"/>
        </w:r>
        <w:r>
          <w:rPr>
            <w:b/>
            <w:bCs/>
          </w:rPr>
          <w:t xml:space="preserve"> | </w:t>
        </w:r>
        <w:r>
          <w:rPr>
            <w:color w:val="808080" w:themeColor="background1" w:themeShade="80"/>
            <w:spacing w:val="60"/>
          </w:rPr>
          <w:t>Page</w:t>
        </w:r>
      </w:p>
    </w:sdtContent>
  </w:sdt>
  <w:p w14:paraId="4A153B37" w14:textId="77777777" w:rsidR="0044020A" w:rsidRDefault="00440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44020A" w:rsidRDefault="0044020A">
        <w:pPr>
          <w:pStyle w:val="Footer"/>
          <w:pBdr>
            <w:top w:val="single" w:sz="4" w:space="1" w:color="D9D9D9" w:themeColor="background1" w:themeShade="D9"/>
          </w:pBdr>
          <w:jc w:val="right"/>
        </w:pPr>
        <w:r>
          <w:fldChar w:fldCharType="begin"/>
        </w:r>
        <w:r>
          <w:instrText xml:space="preserve"> PAGE   \* MERGEFORMAT </w:instrText>
        </w:r>
        <w:r>
          <w:fldChar w:fldCharType="separate"/>
        </w:r>
        <w:r w:rsidR="009A4387">
          <w:rPr>
            <w:noProof/>
          </w:rPr>
          <w:t>5</w:t>
        </w:r>
        <w:r>
          <w:rPr>
            <w:noProof/>
          </w:rPr>
          <w:fldChar w:fldCharType="end"/>
        </w:r>
        <w:r>
          <w:t xml:space="preserve"> | </w:t>
        </w:r>
        <w:r>
          <w:rPr>
            <w:color w:val="7F7F7F" w:themeColor="background1" w:themeShade="7F"/>
            <w:spacing w:val="60"/>
          </w:rPr>
          <w:t>Page</w:t>
        </w:r>
      </w:p>
    </w:sdtContent>
  </w:sdt>
  <w:p w14:paraId="2528C48D" w14:textId="77777777" w:rsidR="0044020A" w:rsidRDefault="004402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037B5" w14:textId="77777777" w:rsidR="0087050F" w:rsidRDefault="0087050F" w:rsidP="00E35CB2">
      <w:r>
        <w:separator/>
      </w:r>
    </w:p>
    <w:p w14:paraId="05E5FE0A" w14:textId="77777777" w:rsidR="0087050F" w:rsidRDefault="0087050F"/>
    <w:p w14:paraId="634F6C98" w14:textId="77777777" w:rsidR="0087050F" w:rsidRDefault="0087050F"/>
    <w:p w14:paraId="7905EE70" w14:textId="77777777" w:rsidR="0087050F" w:rsidRDefault="0087050F"/>
    <w:p w14:paraId="73993C1D" w14:textId="77777777" w:rsidR="0087050F" w:rsidRDefault="0087050F"/>
  </w:footnote>
  <w:footnote w:type="continuationSeparator" w:id="0">
    <w:p w14:paraId="2C89B3C1" w14:textId="77777777" w:rsidR="0087050F" w:rsidRDefault="0087050F" w:rsidP="00E35CB2">
      <w:r>
        <w:continuationSeparator/>
      </w:r>
    </w:p>
    <w:p w14:paraId="39C1B234" w14:textId="77777777" w:rsidR="0087050F" w:rsidRDefault="0087050F"/>
    <w:p w14:paraId="56DE4C7B" w14:textId="77777777" w:rsidR="0087050F" w:rsidRDefault="0087050F"/>
    <w:p w14:paraId="2928F17D" w14:textId="77777777" w:rsidR="0087050F" w:rsidRDefault="0087050F"/>
    <w:p w14:paraId="22C503FB" w14:textId="77777777" w:rsidR="0087050F" w:rsidRDefault="008705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0429" w14:textId="0D83A6A4" w:rsidR="0044020A" w:rsidRDefault="0044020A">
    <w:pPr>
      <w:pStyle w:val="Header"/>
    </w:pPr>
    <w:r>
      <w:rPr>
        <w:noProof/>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44020A" w:rsidRDefault="0044020A"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M4hwIAAPw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BH&#10;j0M4hwIAAPwEAAAOAAAAAAAAAAAAAAAAAC4CAABkcnMvZTJvRG9jLnhtbFBLAQItABQABgAIAAAA&#10;IQBr5FOM3AAAAAYBAAAPAAAAAAAAAAAAAAAAAOEEAABkcnMvZG93bnJldi54bWxQSwUGAAAAAAQA&#10;BADzAAAA6gUAAAAA&#10;" o:allowincell="f" filled="f" stroked="f">
              <v:stroke joinstyle="round"/>
              <o:lock v:ext="edit" shapetype="t"/>
              <v:textbox style="mso-fit-shape-to-text:t">
                <w:txbxContent>
                  <w:p w14:paraId="3728469E" w14:textId="77777777" w:rsidR="0044020A" w:rsidRDefault="0044020A"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AB579" w14:textId="149EF011" w:rsidR="0044020A" w:rsidRPr="00FA0A88" w:rsidRDefault="0044020A"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44020A" w:rsidRDefault="0044020A"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7BfK/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50028BF5" w14:textId="77777777" w:rsidR="0044020A" w:rsidRDefault="0044020A"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smallCaps/>
        <w:color w:val="808080" w:themeColor="background1" w:themeShade="80"/>
        <w:sz w:val="18"/>
        <w:szCs w:val="18"/>
      </w:rPr>
      <w:t>THE WORLD BANK - ENVIRONMENTAL AND SOCIAL COMMITMENT PLAN (ESCP)</w: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44020A" w:rsidRPr="00AD0A1F" w:rsidRDefault="0044020A"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E787A" w14:textId="4AF7400B" w:rsidR="0044020A" w:rsidRDefault="0044020A">
    <w:pPr>
      <w:pStyle w:val="Header"/>
    </w:pPr>
    <w:r>
      <w:rPr>
        <w:noProof/>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44020A" w:rsidRDefault="0044020A"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BJxC7w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29774884" w14:textId="77777777" w:rsidR="0044020A" w:rsidRDefault="0044020A"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9ACF8" w14:textId="1FF99ADF" w:rsidR="0044020A" w:rsidRDefault="0044020A">
    <w:pPr>
      <w:pStyle w:val="Header"/>
    </w:pPr>
  </w:p>
  <w:p w14:paraId="32CFDEFF" w14:textId="77777777" w:rsidR="0044020A" w:rsidRDefault="0044020A"/>
  <w:p w14:paraId="4D3CEA79" w14:textId="77777777" w:rsidR="0044020A" w:rsidRDefault="0044020A"/>
  <w:p w14:paraId="1D350BEF" w14:textId="77777777" w:rsidR="0044020A" w:rsidRDefault="0044020A"/>
  <w:p w14:paraId="5668CBEA" w14:textId="77777777" w:rsidR="0044020A" w:rsidRDefault="0044020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E5986" w14:textId="760A3522" w:rsidR="0044020A" w:rsidRPr="00506C68" w:rsidRDefault="0044020A"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88EBEF" w14:textId="77777777" w:rsidR="0044020A" w:rsidRDefault="0044020A"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" o:allowincell="f" filled="f" stroked="f">
              <v:stroke joinstyle="round"/>
              <o:lock v:ext="edit" shapetype="t"/>
              <v:textbox style="mso-fit-shape-to-text:t">
                <w:txbxContent>
                  <w:p w14:paraId="0788EBEF" w14:textId="77777777" w:rsidR="0044020A" w:rsidRDefault="0044020A"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THE WORLD BANK - ENVIRONMENTAL AND SOCIAL COMMITMENT PLAN (ESCP): VERSION 2.0 – July 2019</w:t>
    </w:r>
    <w:r>
      <w:rPr>
        <w:rFonts w:cstheme="minorHAnsi"/>
        <w:b/>
        <w:color w:val="808080" w:themeColor="background1" w:themeShade="80"/>
        <w:sz w:val="16"/>
        <w:szCs w:val="16"/>
      </w:rPr>
      <w:t xml:space="preserve"> </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44020A" w:rsidRPr="00506C68" w:rsidRDefault="0044020A" w:rsidP="000A0AEB">
    <w:pPr>
      <w:pStyle w:val="Header"/>
      <w:rPr>
        <w:rFonts w:cstheme="minorHAnsi"/>
        <w:b/>
        <w:color w:val="808080" w:themeColor="background1" w:themeShade="80"/>
        <w:sz w:val="16"/>
        <w:szCs w:val="16"/>
      </w:rPr>
    </w:pPr>
  </w:p>
  <w:p w14:paraId="2A88191C" w14:textId="77777777" w:rsidR="0044020A" w:rsidRDefault="0044020A" w:rsidP="005D09F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91091" w14:textId="338F6A9B" w:rsidR="0044020A" w:rsidRDefault="00440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379D"/>
    <w:multiLevelType w:val="hybridMultilevel"/>
    <w:tmpl w:val="BAF6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7"/>
  </w:num>
  <w:num w:numId="2">
    <w:abstractNumId w:val="7"/>
  </w:num>
  <w:num w:numId="3">
    <w:abstractNumId w:val="18"/>
  </w:num>
  <w:num w:numId="4">
    <w:abstractNumId w:val="16"/>
  </w:num>
  <w:num w:numId="5">
    <w:abstractNumId w:val="12"/>
  </w:num>
  <w:num w:numId="6">
    <w:abstractNumId w:val="20"/>
  </w:num>
  <w:num w:numId="7">
    <w:abstractNumId w:val="3"/>
  </w:num>
  <w:num w:numId="8">
    <w:abstractNumId w:val="9"/>
  </w:num>
  <w:num w:numId="9">
    <w:abstractNumId w:val="2"/>
  </w:num>
  <w:num w:numId="10">
    <w:abstractNumId w:val="14"/>
  </w:num>
  <w:num w:numId="11">
    <w:abstractNumId w:val="8"/>
  </w:num>
  <w:num w:numId="12">
    <w:abstractNumId w:val="6"/>
  </w:num>
  <w:num w:numId="13">
    <w:abstractNumId w:val="5"/>
  </w:num>
  <w:num w:numId="14">
    <w:abstractNumId w:val="15"/>
  </w:num>
  <w:num w:numId="15">
    <w:abstractNumId w:val="13"/>
  </w:num>
  <w:num w:numId="16">
    <w:abstractNumId w:val="19"/>
  </w:num>
  <w:num w:numId="17">
    <w:abstractNumId w:val="11"/>
  </w:num>
  <w:num w:numId="18">
    <w:abstractNumId w:val="1"/>
  </w:num>
  <w:num w:numId="19">
    <w:abstractNumId w:val="10"/>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B2"/>
    <w:rsid w:val="00002B96"/>
    <w:rsid w:val="00002F5A"/>
    <w:rsid w:val="000034DD"/>
    <w:rsid w:val="0001001E"/>
    <w:rsid w:val="00011EBF"/>
    <w:rsid w:val="000124AF"/>
    <w:rsid w:val="000132C7"/>
    <w:rsid w:val="00013663"/>
    <w:rsid w:val="000139BB"/>
    <w:rsid w:val="00015A47"/>
    <w:rsid w:val="0001758C"/>
    <w:rsid w:val="00021A5C"/>
    <w:rsid w:val="00021E41"/>
    <w:rsid w:val="00022B03"/>
    <w:rsid w:val="00022CE4"/>
    <w:rsid w:val="00023046"/>
    <w:rsid w:val="00026C40"/>
    <w:rsid w:val="00033CA0"/>
    <w:rsid w:val="00040743"/>
    <w:rsid w:val="00044394"/>
    <w:rsid w:val="000468DE"/>
    <w:rsid w:val="00046AAE"/>
    <w:rsid w:val="00047A48"/>
    <w:rsid w:val="00050BF8"/>
    <w:rsid w:val="00051F1D"/>
    <w:rsid w:val="00053C5B"/>
    <w:rsid w:val="0005481F"/>
    <w:rsid w:val="000561A4"/>
    <w:rsid w:val="000564F8"/>
    <w:rsid w:val="000623D2"/>
    <w:rsid w:val="00066E4A"/>
    <w:rsid w:val="00071A2C"/>
    <w:rsid w:val="00071F61"/>
    <w:rsid w:val="00074E7B"/>
    <w:rsid w:val="00085C13"/>
    <w:rsid w:val="0009509F"/>
    <w:rsid w:val="000A0AEB"/>
    <w:rsid w:val="000A1E89"/>
    <w:rsid w:val="000A3764"/>
    <w:rsid w:val="000A38EB"/>
    <w:rsid w:val="000A419E"/>
    <w:rsid w:val="000B0093"/>
    <w:rsid w:val="000B1513"/>
    <w:rsid w:val="000B6C87"/>
    <w:rsid w:val="000B7699"/>
    <w:rsid w:val="000C0CEF"/>
    <w:rsid w:val="000C4140"/>
    <w:rsid w:val="000C42E8"/>
    <w:rsid w:val="000D043C"/>
    <w:rsid w:val="000D0ECC"/>
    <w:rsid w:val="000D3122"/>
    <w:rsid w:val="000D32EF"/>
    <w:rsid w:val="000D3946"/>
    <w:rsid w:val="000F0DFB"/>
    <w:rsid w:val="000F2E62"/>
    <w:rsid w:val="000F6FC5"/>
    <w:rsid w:val="000F7D8D"/>
    <w:rsid w:val="00100272"/>
    <w:rsid w:val="00102036"/>
    <w:rsid w:val="00106028"/>
    <w:rsid w:val="00122EB9"/>
    <w:rsid w:val="00124511"/>
    <w:rsid w:val="0012625A"/>
    <w:rsid w:val="00126D90"/>
    <w:rsid w:val="00133BC8"/>
    <w:rsid w:val="00134E29"/>
    <w:rsid w:val="0014113C"/>
    <w:rsid w:val="00142A09"/>
    <w:rsid w:val="00142B1E"/>
    <w:rsid w:val="001465A4"/>
    <w:rsid w:val="00146A78"/>
    <w:rsid w:val="00146AF0"/>
    <w:rsid w:val="00147DBF"/>
    <w:rsid w:val="00151D2A"/>
    <w:rsid w:val="0015236B"/>
    <w:rsid w:val="00152CC3"/>
    <w:rsid w:val="00154D0A"/>
    <w:rsid w:val="0016519A"/>
    <w:rsid w:val="00165F8C"/>
    <w:rsid w:val="00170978"/>
    <w:rsid w:val="00170A10"/>
    <w:rsid w:val="001722BA"/>
    <w:rsid w:val="001735CA"/>
    <w:rsid w:val="0017533F"/>
    <w:rsid w:val="00175BD5"/>
    <w:rsid w:val="00177A87"/>
    <w:rsid w:val="00180640"/>
    <w:rsid w:val="00181C52"/>
    <w:rsid w:val="001878F9"/>
    <w:rsid w:val="001916A5"/>
    <w:rsid w:val="00191D42"/>
    <w:rsid w:val="00194946"/>
    <w:rsid w:val="00195369"/>
    <w:rsid w:val="00197015"/>
    <w:rsid w:val="00197E5B"/>
    <w:rsid w:val="001A1149"/>
    <w:rsid w:val="001A44BB"/>
    <w:rsid w:val="001A7BD5"/>
    <w:rsid w:val="001B452C"/>
    <w:rsid w:val="001B5562"/>
    <w:rsid w:val="001B5B02"/>
    <w:rsid w:val="001C410B"/>
    <w:rsid w:val="001D2432"/>
    <w:rsid w:val="001D2466"/>
    <w:rsid w:val="001D4EE0"/>
    <w:rsid w:val="001D57CC"/>
    <w:rsid w:val="001D672E"/>
    <w:rsid w:val="001D78A8"/>
    <w:rsid w:val="001E72D4"/>
    <w:rsid w:val="001F05A7"/>
    <w:rsid w:val="001F3344"/>
    <w:rsid w:val="001F4109"/>
    <w:rsid w:val="001F58D6"/>
    <w:rsid w:val="002000B2"/>
    <w:rsid w:val="00201297"/>
    <w:rsid w:val="002034B8"/>
    <w:rsid w:val="002034F1"/>
    <w:rsid w:val="0021040A"/>
    <w:rsid w:val="00210C8C"/>
    <w:rsid w:val="0021263D"/>
    <w:rsid w:val="002216CD"/>
    <w:rsid w:val="00223773"/>
    <w:rsid w:val="00230427"/>
    <w:rsid w:val="00233E98"/>
    <w:rsid w:val="00253388"/>
    <w:rsid w:val="002539B2"/>
    <w:rsid w:val="00256E8D"/>
    <w:rsid w:val="00263889"/>
    <w:rsid w:val="002645DA"/>
    <w:rsid w:val="00266460"/>
    <w:rsid w:val="00275063"/>
    <w:rsid w:val="00276158"/>
    <w:rsid w:val="00284ABA"/>
    <w:rsid w:val="002900CC"/>
    <w:rsid w:val="0029168A"/>
    <w:rsid w:val="0029223F"/>
    <w:rsid w:val="0029535A"/>
    <w:rsid w:val="0029679B"/>
    <w:rsid w:val="00297AB6"/>
    <w:rsid w:val="002A07CC"/>
    <w:rsid w:val="002A0C04"/>
    <w:rsid w:val="002A4E74"/>
    <w:rsid w:val="002A67AD"/>
    <w:rsid w:val="002B04DB"/>
    <w:rsid w:val="002B168B"/>
    <w:rsid w:val="002B4098"/>
    <w:rsid w:val="002B4D22"/>
    <w:rsid w:val="002C01E4"/>
    <w:rsid w:val="002C4801"/>
    <w:rsid w:val="002C5A09"/>
    <w:rsid w:val="002C7822"/>
    <w:rsid w:val="002C7ADE"/>
    <w:rsid w:val="002D36AF"/>
    <w:rsid w:val="002D4AA2"/>
    <w:rsid w:val="002D5209"/>
    <w:rsid w:val="002D5E3A"/>
    <w:rsid w:val="002D7B18"/>
    <w:rsid w:val="002E0374"/>
    <w:rsid w:val="002E1042"/>
    <w:rsid w:val="002E1874"/>
    <w:rsid w:val="002E45B4"/>
    <w:rsid w:val="002E55FE"/>
    <w:rsid w:val="002E7419"/>
    <w:rsid w:val="002F0B51"/>
    <w:rsid w:val="002F64CF"/>
    <w:rsid w:val="00301D4F"/>
    <w:rsid w:val="00304827"/>
    <w:rsid w:val="00305BCF"/>
    <w:rsid w:val="00305E49"/>
    <w:rsid w:val="00310390"/>
    <w:rsid w:val="003108D8"/>
    <w:rsid w:val="00310A80"/>
    <w:rsid w:val="00312CC6"/>
    <w:rsid w:val="00313FC9"/>
    <w:rsid w:val="00316C77"/>
    <w:rsid w:val="00316E2F"/>
    <w:rsid w:val="003259FB"/>
    <w:rsid w:val="00325A2C"/>
    <w:rsid w:val="00331885"/>
    <w:rsid w:val="00332FCC"/>
    <w:rsid w:val="00336BEA"/>
    <w:rsid w:val="003426AA"/>
    <w:rsid w:val="00347F05"/>
    <w:rsid w:val="00352D91"/>
    <w:rsid w:val="00354AD9"/>
    <w:rsid w:val="00354E9E"/>
    <w:rsid w:val="00355083"/>
    <w:rsid w:val="003570EB"/>
    <w:rsid w:val="003600CB"/>
    <w:rsid w:val="0036097D"/>
    <w:rsid w:val="00360DDF"/>
    <w:rsid w:val="00365763"/>
    <w:rsid w:val="00367F16"/>
    <w:rsid w:val="0037259C"/>
    <w:rsid w:val="00373802"/>
    <w:rsid w:val="0037539E"/>
    <w:rsid w:val="00375BD0"/>
    <w:rsid w:val="00377019"/>
    <w:rsid w:val="00383C2C"/>
    <w:rsid w:val="003851E2"/>
    <w:rsid w:val="0038605C"/>
    <w:rsid w:val="0039387B"/>
    <w:rsid w:val="003974D6"/>
    <w:rsid w:val="003B5E96"/>
    <w:rsid w:val="003C1D4C"/>
    <w:rsid w:val="003C2002"/>
    <w:rsid w:val="003E1D7B"/>
    <w:rsid w:val="003E336D"/>
    <w:rsid w:val="003E41FE"/>
    <w:rsid w:val="003E6028"/>
    <w:rsid w:val="003E6299"/>
    <w:rsid w:val="003F4EAC"/>
    <w:rsid w:val="003F51D0"/>
    <w:rsid w:val="003F72CB"/>
    <w:rsid w:val="003F7918"/>
    <w:rsid w:val="00400A40"/>
    <w:rsid w:val="00402C16"/>
    <w:rsid w:val="00403D18"/>
    <w:rsid w:val="00404812"/>
    <w:rsid w:val="004075D2"/>
    <w:rsid w:val="004137A2"/>
    <w:rsid w:val="0041418E"/>
    <w:rsid w:val="004173F6"/>
    <w:rsid w:val="00417D70"/>
    <w:rsid w:val="00421ECE"/>
    <w:rsid w:val="004222F1"/>
    <w:rsid w:val="00422BDD"/>
    <w:rsid w:val="00423785"/>
    <w:rsid w:val="00423CAC"/>
    <w:rsid w:val="00425CD3"/>
    <w:rsid w:val="0043065D"/>
    <w:rsid w:val="00433B26"/>
    <w:rsid w:val="0044020A"/>
    <w:rsid w:val="004472E6"/>
    <w:rsid w:val="0045080E"/>
    <w:rsid w:val="0045314C"/>
    <w:rsid w:val="00453E9A"/>
    <w:rsid w:val="0046130D"/>
    <w:rsid w:val="004626CF"/>
    <w:rsid w:val="0046390A"/>
    <w:rsid w:val="004650CC"/>
    <w:rsid w:val="0046582A"/>
    <w:rsid w:val="00470040"/>
    <w:rsid w:val="00471255"/>
    <w:rsid w:val="004728A0"/>
    <w:rsid w:val="00474BE5"/>
    <w:rsid w:val="0047550F"/>
    <w:rsid w:val="00475D41"/>
    <w:rsid w:val="00475DE9"/>
    <w:rsid w:val="00476B4D"/>
    <w:rsid w:val="00483B53"/>
    <w:rsid w:val="00484356"/>
    <w:rsid w:val="00484A88"/>
    <w:rsid w:val="004904F8"/>
    <w:rsid w:val="004909BA"/>
    <w:rsid w:val="00491701"/>
    <w:rsid w:val="00492173"/>
    <w:rsid w:val="00493FB9"/>
    <w:rsid w:val="004973A4"/>
    <w:rsid w:val="00497F9A"/>
    <w:rsid w:val="004A5380"/>
    <w:rsid w:val="004A7DCB"/>
    <w:rsid w:val="004B006E"/>
    <w:rsid w:val="004B0126"/>
    <w:rsid w:val="004B23B2"/>
    <w:rsid w:val="004B4D36"/>
    <w:rsid w:val="004B5968"/>
    <w:rsid w:val="004B5B25"/>
    <w:rsid w:val="004C681B"/>
    <w:rsid w:val="004D3A88"/>
    <w:rsid w:val="004D60D3"/>
    <w:rsid w:val="004D65A4"/>
    <w:rsid w:val="004D759F"/>
    <w:rsid w:val="004D7C69"/>
    <w:rsid w:val="004E010D"/>
    <w:rsid w:val="004E51B0"/>
    <w:rsid w:val="004E5289"/>
    <w:rsid w:val="004E68EF"/>
    <w:rsid w:val="004E7CEA"/>
    <w:rsid w:val="004F1184"/>
    <w:rsid w:val="004F56F7"/>
    <w:rsid w:val="004F5C4E"/>
    <w:rsid w:val="00501AA7"/>
    <w:rsid w:val="00502173"/>
    <w:rsid w:val="00503F93"/>
    <w:rsid w:val="00506C68"/>
    <w:rsid w:val="00516511"/>
    <w:rsid w:val="00524D42"/>
    <w:rsid w:val="0053072C"/>
    <w:rsid w:val="00536689"/>
    <w:rsid w:val="00541AD5"/>
    <w:rsid w:val="00545C67"/>
    <w:rsid w:val="0055127F"/>
    <w:rsid w:val="00554415"/>
    <w:rsid w:val="005557DB"/>
    <w:rsid w:val="00555923"/>
    <w:rsid w:val="00556C53"/>
    <w:rsid w:val="00560102"/>
    <w:rsid w:val="00561847"/>
    <w:rsid w:val="00561AFB"/>
    <w:rsid w:val="00562414"/>
    <w:rsid w:val="00563557"/>
    <w:rsid w:val="00570B1A"/>
    <w:rsid w:val="00572F61"/>
    <w:rsid w:val="005749AC"/>
    <w:rsid w:val="00575053"/>
    <w:rsid w:val="00575258"/>
    <w:rsid w:val="00576631"/>
    <w:rsid w:val="00576B69"/>
    <w:rsid w:val="005879CC"/>
    <w:rsid w:val="00593C8E"/>
    <w:rsid w:val="00594521"/>
    <w:rsid w:val="0059791D"/>
    <w:rsid w:val="005A11DD"/>
    <w:rsid w:val="005B4E74"/>
    <w:rsid w:val="005B54EF"/>
    <w:rsid w:val="005B5951"/>
    <w:rsid w:val="005C40FB"/>
    <w:rsid w:val="005C4926"/>
    <w:rsid w:val="005C5DB7"/>
    <w:rsid w:val="005C5F8B"/>
    <w:rsid w:val="005D09FE"/>
    <w:rsid w:val="005D394E"/>
    <w:rsid w:val="005D41CB"/>
    <w:rsid w:val="005D45E6"/>
    <w:rsid w:val="005D4B65"/>
    <w:rsid w:val="005E2984"/>
    <w:rsid w:val="005E2E4D"/>
    <w:rsid w:val="005E3DC1"/>
    <w:rsid w:val="005F13A2"/>
    <w:rsid w:val="005F1AFA"/>
    <w:rsid w:val="005F1B0E"/>
    <w:rsid w:val="005F5CE4"/>
    <w:rsid w:val="005F6237"/>
    <w:rsid w:val="005F6F48"/>
    <w:rsid w:val="00602FE2"/>
    <w:rsid w:val="00605B33"/>
    <w:rsid w:val="00606CA7"/>
    <w:rsid w:val="00607A72"/>
    <w:rsid w:val="006110F8"/>
    <w:rsid w:val="006147B2"/>
    <w:rsid w:val="00614E29"/>
    <w:rsid w:val="006175DC"/>
    <w:rsid w:val="00620639"/>
    <w:rsid w:val="00627DBD"/>
    <w:rsid w:val="00630740"/>
    <w:rsid w:val="00630C76"/>
    <w:rsid w:val="00641B66"/>
    <w:rsid w:val="006477C1"/>
    <w:rsid w:val="00650EEA"/>
    <w:rsid w:val="00652DC8"/>
    <w:rsid w:val="00655E8D"/>
    <w:rsid w:val="00657282"/>
    <w:rsid w:val="00662D45"/>
    <w:rsid w:val="00670476"/>
    <w:rsid w:val="00673BC8"/>
    <w:rsid w:val="00674602"/>
    <w:rsid w:val="00676E7B"/>
    <w:rsid w:val="00677B3B"/>
    <w:rsid w:val="006835E0"/>
    <w:rsid w:val="00685655"/>
    <w:rsid w:val="00685FF9"/>
    <w:rsid w:val="0068618C"/>
    <w:rsid w:val="00686DF7"/>
    <w:rsid w:val="00687C97"/>
    <w:rsid w:val="00692228"/>
    <w:rsid w:val="00694763"/>
    <w:rsid w:val="006964F8"/>
    <w:rsid w:val="006A4019"/>
    <w:rsid w:val="006A70E3"/>
    <w:rsid w:val="006B4A26"/>
    <w:rsid w:val="006C1B99"/>
    <w:rsid w:val="006D16F0"/>
    <w:rsid w:val="006D2168"/>
    <w:rsid w:val="006D36CD"/>
    <w:rsid w:val="006D4DDB"/>
    <w:rsid w:val="006E55EC"/>
    <w:rsid w:val="006E6F40"/>
    <w:rsid w:val="006F0B0A"/>
    <w:rsid w:val="006F0DF5"/>
    <w:rsid w:val="006F3188"/>
    <w:rsid w:val="006F5362"/>
    <w:rsid w:val="00701091"/>
    <w:rsid w:val="00703348"/>
    <w:rsid w:val="007058C8"/>
    <w:rsid w:val="00707068"/>
    <w:rsid w:val="00707DB6"/>
    <w:rsid w:val="00717524"/>
    <w:rsid w:val="00721362"/>
    <w:rsid w:val="0072141F"/>
    <w:rsid w:val="00721F4E"/>
    <w:rsid w:val="0073367A"/>
    <w:rsid w:val="0073471D"/>
    <w:rsid w:val="00734F89"/>
    <w:rsid w:val="0074136F"/>
    <w:rsid w:val="00744980"/>
    <w:rsid w:val="00747414"/>
    <w:rsid w:val="00747B10"/>
    <w:rsid w:val="00752D7A"/>
    <w:rsid w:val="0075364D"/>
    <w:rsid w:val="00754821"/>
    <w:rsid w:val="007548C5"/>
    <w:rsid w:val="007551F8"/>
    <w:rsid w:val="007569FE"/>
    <w:rsid w:val="00756E4A"/>
    <w:rsid w:val="00762075"/>
    <w:rsid w:val="007640AF"/>
    <w:rsid w:val="00764868"/>
    <w:rsid w:val="00777904"/>
    <w:rsid w:val="00777A2D"/>
    <w:rsid w:val="00777D1F"/>
    <w:rsid w:val="00781C28"/>
    <w:rsid w:val="0078416F"/>
    <w:rsid w:val="0078442D"/>
    <w:rsid w:val="00784922"/>
    <w:rsid w:val="00784B19"/>
    <w:rsid w:val="007858C0"/>
    <w:rsid w:val="00791A34"/>
    <w:rsid w:val="00794511"/>
    <w:rsid w:val="00797A6E"/>
    <w:rsid w:val="007A19C0"/>
    <w:rsid w:val="007A2EA3"/>
    <w:rsid w:val="007A33BB"/>
    <w:rsid w:val="007A5C66"/>
    <w:rsid w:val="007A706C"/>
    <w:rsid w:val="007B070B"/>
    <w:rsid w:val="007B4E9E"/>
    <w:rsid w:val="007B7EE1"/>
    <w:rsid w:val="007C1B7C"/>
    <w:rsid w:val="007C5D74"/>
    <w:rsid w:val="007C7248"/>
    <w:rsid w:val="007D06D0"/>
    <w:rsid w:val="007D1B44"/>
    <w:rsid w:val="007D6A51"/>
    <w:rsid w:val="007D7377"/>
    <w:rsid w:val="007D78EF"/>
    <w:rsid w:val="007E135B"/>
    <w:rsid w:val="007E260E"/>
    <w:rsid w:val="007E2709"/>
    <w:rsid w:val="007E2DAB"/>
    <w:rsid w:val="007E4F9D"/>
    <w:rsid w:val="007E61EB"/>
    <w:rsid w:val="007E7469"/>
    <w:rsid w:val="007F118F"/>
    <w:rsid w:val="008012EB"/>
    <w:rsid w:val="00801481"/>
    <w:rsid w:val="00801E64"/>
    <w:rsid w:val="0080354A"/>
    <w:rsid w:val="00805C69"/>
    <w:rsid w:val="00806012"/>
    <w:rsid w:val="008078F4"/>
    <w:rsid w:val="008109FB"/>
    <w:rsid w:val="00821252"/>
    <w:rsid w:val="00822EA7"/>
    <w:rsid w:val="00824684"/>
    <w:rsid w:val="008249BF"/>
    <w:rsid w:val="008256E0"/>
    <w:rsid w:val="00827E50"/>
    <w:rsid w:val="00836C2C"/>
    <w:rsid w:val="0084174A"/>
    <w:rsid w:val="00856BDC"/>
    <w:rsid w:val="00856BE3"/>
    <w:rsid w:val="0086245D"/>
    <w:rsid w:val="00863160"/>
    <w:rsid w:val="00863865"/>
    <w:rsid w:val="00865A6D"/>
    <w:rsid w:val="0087050F"/>
    <w:rsid w:val="00886479"/>
    <w:rsid w:val="00891841"/>
    <w:rsid w:val="00891DF6"/>
    <w:rsid w:val="0089240F"/>
    <w:rsid w:val="00897826"/>
    <w:rsid w:val="008A40B6"/>
    <w:rsid w:val="008A6051"/>
    <w:rsid w:val="008A7977"/>
    <w:rsid w:val="008B3DA5"/>
    <w:rsid w:val="008C061B"/>
    <w:rsid w:val="008C2C65"/>
    <w:rsid w:val="008C58A2"/>
    <w:rsid w:val="008D1770"/>
    <w:rsid w:val="008D307A"/>
    <w:rsid w:val="008E1414"/>
    <w:rsid w:val="008E4690"/>
    <w:rsid w:val="008E521F"/>
    <w:rsid w:val="008E535C"/>
    <w:rsid w:val="008E7548"/>
    <w:rsid w:val="008F1333"/>
    <w:rsid w:val="008F1512"/>
    <w:rsid w:val="008F153C"/>
    <w:rsid w:val="008F40D7"/>
    <w:rsid w:val="008F4879"/>
    <w:rsid w:val="008F561B"/>
    <w:rsid w:val="009003C4"/>
    <w:rsid w:val="00906EB4"/>
    <w:rsid w:val="00907ECD"/>
    <w:rsid w:val="00910DFA"/>
    <w:rsid w:val="0091111E"/>
    <w:rsid w:val="0091289B"/>
    <w:rsid w:val="00914AFC"/>
    <w:rsid w:val="00915139"/>
    <w:rsid w:val="00915D58"/>
    <w:rsid w:val="00915F10"/>
    <w:rsid w:val="00916A95"/>
    <w:rsid w:val="00927D8B"/>
    <w:rsid w:val="00936331"/>
    <w:rsid w:val="009402D5"/>
    <w:rsid w:val="00940B98"/>
    <w:rsid w:val="009428BB"/>
    <w:rsid w:val="009437A1"/>
    <w:rsid w:val="00945B1A"/>
    <w:rsid w:val="0094668F"/>
    <w:rsid w:val="00947023"/>
    <w:rsid w:val="00947BD1"/>
    <w:rsid w:val="00950FFA"/>
    <w:rsid w:val="0095479C"/>
    <w:rsid w:val="00954D71"/>
    <w:rsid w:val="00956C8A"/>
    <w:rsid w:val="009575BF"/>
    <w:rsid w:val="00966758"/>
    <w:rsid w:val="00971528"/>
    <w:rsid w:val="00975431"/>
    <w:rsid w:val="009772D5"/>
    <w:rsid w:val="00977F66"/>
    <w:rsid w:val="00981764"/>
    <w:rsid w:val="009925CC"/>
    <w:rsid w:val="009A005C"/>
    <w:rsid w:val="009A101B"/>
    <w:rsid w:val="009A26FC"/>
    <w:rsid w:val="009A4387"/>
    <w:rsid w:val="009B4243"/>
    <w:rsid w:val="009B570F"/>
    <w:rsid w:val="009C49E1"/>
    <w:rsid w:val="009C67BB"/>
    <w:rsid w:val="009C7C9E"/>
    <w:rsid w:val="009D24D8"/>
    <w:rsid w:val="009D2712"/>
    <w:rsid w:val="009D55D6"/>
    <w:rsid w:val="009D603C"/>
    <w:rsid w:val="009D604F"/>
    <w:rsid w:val="009D7590"/>
    <w:rsid w:val="009E130C"/>
    <w:rsid w:val="009E323F"/>
    <w:rsid w:val="009F0105"/>
    <w:rsid w:val="009F425A"/>
    <w:rsid w:val="009F50E9"/>
    <w:rsid w:val="00A026F5"/>
    <w:rsid w:val="00A027A6"/>
    <w:rsid w:val="00A05906"/>
    <w:rsid w:val="00A07D29"/>
    <w:rsid w:val="00A1082E"/>
    <w:rsid w:val="00A124AF"/>
    <w:rsid w:val="00A12E16"/>
    <w:rsid w:val="00A14336"/>
    <w:rsid w:val="00A16ADC"/>
    <w:rsid w:val="00A25D44"/>
    <w:rsid w:val="00A31E0E"/>
    <w:rsid w:val="00A43131"/>
    <w:rsid w:val="00A47F59"/>
    <w:rsid w:val="00A508CC"/>
    <w:rsid w:val="00A54559"/>
    <w:rsid w:val="00A5770C"/>
    <w:rsid w:val="00A614CC"/>
    <w:rsid w:val="00A71515"/>
    <w:rsid w:val="00A76575"/>
    <w:rsid w:val="00A8355B"/>
    <w:rsid w:val="00A839A3"/>
    <w:rsid w:val="00A84233"/>
    <w:rsid w:val="00A911EE"/>
    <w:rsid w:val="00A96974"/>
    <w:rsid w:val="00A97D95"/>
    <w:rsid w:val="00AA2A6B"/>
    <w:rsid w:val="00AA38EF"/>
    <w:rsid w:val="00AA525B"/>
    <w:rsid w:val="00AB2A3C"/>
    <w:rsid w:val="00AB4F98"/>
    <w:rsid w:val="00AB602D"/>
    <w:rsid w:val="00AB6811"/>
    <w:rsid w:val="00AB6EB7"/>
    <w:rsid w:val="00AB7057"/>
    <w:rsid w:val="00AC1691"/>
    <w:rsid w:val="00AC1B39"/>
    <w:rsid w:val="00AC3288"/>
    <w:rsid w:val="00AC72FF"/>
    <w:rsid w:val="00AC7315"/>
    <w:rsid w:val="00AD0A1F"/>
    <w:rsid w:val="00AD1382"/>
    <w:rsid w:val="00AD3FD8"/>
    <w:rsid w:val="00AD53B9"/>
    <w:rsid w:val="00AD7131"/>
    <w:rsid w:val="00AE0947"/>
    <w:rsid w:val="00AE60CA"/>
    <w:rsid w:val="00AE7B26"/>
    <w:rsid w:val="00AF1482"/>
    <w:rsid w:val="00AF20FA"/>
    <w:rsid w:val="00AF3D21"/>
    <w:rsid w:val="00AF441F"/>
    <w:rsid w:val="00AF61CF"/>
    <w:rsid w:val="00B0144B"/>
    <w:rsid w:val="00B11FCA"/>
    <w:rsid w:val="00B1205A"/>
    <w:rsid w:val="00B1244E"/>
    <w:rsid w:val="00B1491E"/>
    <w:rsid w:val="00B16C76"/>
    <w:rsid w:val="00B174B9"/>
    <w:rsid w:val="00B24C14"/>
    <w:rsid w:val="00B31EF9"/>
    <w:rsid w:val="00B32660"/>
    <w:rsid w:val="00B35931"/>
    <w:rsid w:val="00B35BDD"/>
    <w:rsid w:val="00B45926"/>
    <w:rsid w:val="00B46ABB"/>
    <w:rsid w:val="00B46E00"/>
    <w:rsid w:val="00B50AE3"/>
    <w:rsid w:val="00B51400"/>
    <w:rsid w:val="00B532EE"/>
    <w:rsid w:val="00B53E15"/>
    <w:rsid w:val="00B54D83"/>
    <w:rsid w:val="00B61C95"/>
    <w:rsid w:val="00B650F0"/>
    <w:rsid w:val="00B7260A"/>
    <w:rsid w:val="00B75815"/>
    <w:rsid w:val="00B76B88"/>
    <w:rsid w:val="00B773BD"/>
    <w:rsid w:val="00B77DCA"/>
    <w:rsid w:val="00B80C04"/>
    <w:rsid w:val="00B83090"/>
    <w:rsid w:val="00B83F41"/>
    <w:rsid w:val="00B84EE4"/>
    <w:rsid w:val="00B9029E"/>
    <w:rsid w:val="00B90BC9"/>
    <w:rsid w:val="00B927CF"/>
    <w:rsid w:val="00B94B5D"/>
    <w:rsid w:val="00BA29B7"/>
    <w:rsid w:val="00BA481A"/>
    <w:rsid w:val="00BA5648"/>
    <w:rsid w:val="00BB1721"/>
    <w:rsid w:val="00BB2811"/>
    <w:rsid w:val="00BB4C26"/>
    <w:rsid w:val="00BC0427"/>
    <w:rsid w:val="00BC1463"/>
    <w:rsid w:val="00BC33AC"/>
    <w:rsid w:val="00BC3EC1"/>
    <w:rsid w:val="00BC6863"/>
    <w:rsid w:val="00BC6ED8"/>
    <w:rsid w:val="00BC711A"/>
    <w:rsid w:val="00BC781D"/>
    <w:rsid w:val="00BD1954"/>
    <w:rsid w:val="00BD7D19"/>
    <w:rsid w:val="00BE3F00"/>
    <w:rsid w:val="00BE6350"/>
    <w:rsid w:val="00BF1C1A"/>
    <w:rsid w:val="00BF1DF5"/>
    <w:rsid w:val="00C01A62"/>
    <w:rsid w:val="00C022B9"/>
    <w:rsid w:val="00C04F98"/>
    <w:rsid w:val="00C05BB3"/>
    <w:rsid w:val="00C06379"/>
    <w:rsid w:val="00C070FD"/>
    <w:rsid w:val="00C0799A"/>
    <w:rsid w:val="00C103A2"/>
    <w:rsid w:val="00C14AF4"/>
    <w:rsid w:val="00C16256"/>
    <w:rsid w:val="00C16504"/>
    <w:rsid w:val="00C16825"/>
    <w:rsid w:val="00C20147"/>
    <w:rsid w:val="00C201B0"/>
    <w:rsid w:val="00C2489F"/>
    <w:rsid w:val="00C25464"/>
    <w:rsid w:val="00C2719D"/>
    <w:rsid w:val="00C30900"/>
    <w:rsid w:val="00C344D2"/>
    <w:rsid w:val="00C35BA3"/>
    <w:rsid w:val="00C35CAD"/>
    <w:rsid w:val="00C42698"/>
    <w:rsid w:val="00C46C0A"/>
    <w:rsid w:val="00C47F87"/>
    <w:rsid w:val="00C51724"/>
    <w:rsid w:val="00C549B1"/>
    <w:rsid w:val="00C56F93"/>
    <w:rsid w:val="00C57AC0"/>
    <w:rsid w:val="00C60109"/>
    <w:rsid w:val="00C61665"/>
    <w:rsid w:val="00C63CF6"/>
    <w:rsid w:val="00C64E2A"/>
    <w:rsid w:val="00C6704F"/>
    <w:rsid w:val="00C80F67"/>
    <w:rsid w:val="00C8568A"/>
    <w:rsid w:val="00C90384"/>
    <w:rsid w:val="00C90F2F"/>
    <w:rsid w:val="00C93C17"/>
    <w:rsid w:val="00C967C1"/>
    <w:rsid w:val="00CA3F3A"/>
    <w:rsid w:val="00CB1D6B"/>
    <w:rsid w:val="00CB6006"/>
    <w:rsid w:val="00CC0AFD"/>
    <w:rsid w:val="00CC16F4"/>
    <w:rsid w:val="00CC23AF"/>
    <w:rsid w:val="00CC2EF2"/>
    <w:rsid w:val="00CC38B0"/>
    <w:rsid w:val="00CC3A9C"/>
    <w:rsid w:val="00CC5780"/>
    <w:rsid w:val="00CD40C0"/>
    <w:rsid w:val="00CD5BE1"/>
    <w:rsid w:val="00CE4768"/>
    <w:rsid w:val="00CF3D76"/>
    <w:rsid w:val="00D04179"/>
    <w:rsid w:val="00D06155"/>
    <w:rsid w:val="00D07E46"/>
    <w:rsid w:val="00D07F39"/>
    <w:rsid w:val="00D1206C"/>
    <w:rsid w:val="00D14D9F"/>
    <w:rsid w:val="00D17EE2"/>
    <w:rsid w:val="00D216D4"/>
    <w:rsid w:val="00D3010E"/>
    <w:rsid w:val="00D30D99"/>
    <w:rsid w:val="00D36FC9"/>
    <w:rsid w:val="00D42B22"/>
    <w:rsid w:val="00D457EF"/>
    <w:rsid w:val="00D45E6C"/>
    <w:rsid w:val="00D50750"/>
    <w:rsid w:val="00D56321"/>
    <w:rsid w:val="00D5750B"/>
    <w:rsid w:val="00D6797C"/>
    <w:rsid w:val="00D67AF6"/>
    <w:rsid w:val="00D7098F"/>
    <w:rsid w:val="00D72118"/>
    <w:rsid w:val="00D75D0E"/>
    <w:rsid w:val="00D9022A"/>
    <w:rsid w:val="00D91C8A"/>
    <w:rsid w:val="00D958C6"/>
    <w:rsid w:val="00D977D5"/>
    <w:rsid w:val="00DA2042"/>
    <w:rsid w:val="00DB0090"/>
    <w:rsid w:val="00DB01BC"/>
    <w:rsid w:val="00DB3538"/>
    <w:rsid w:val="00DB55FB"/>
    <w:rsid w:val="00DB5A5E"/>
    <w:rsid w:val="00DB6166"/>
    <w:rsid w:val="00DC360B"/>
    <w:rsid w:val="00DC5239"/>
    <w:rsid w:val="00DC5C30"/>
    <w:rsid w:val="00DC7129"/>
    <w:rsid w:val="00DD06EB"/>
    <w:rsid w:val="00DD1F28"/>
    <w:rsid w:val="00DD24C3"/>
    <w:rsid w:val="00DD5E8D"/>
    <w:rsid w:val="00DD7123"/>
    <w:rsid w:val="00DE0B7E"/>
    <w:rsid w:val="00DE1329"/>
    <w:rsid w:val="00DE42B9"/>
    <w:rsid w:val="00DE53E3"/>
    <w:rsid w:val="00DF61F4"/>
    <w:rsid w:val="00DF776C"/>
    <w:rsid w:val="00E006D9"/>
    <w:rsid w:val="00E0412A"/>
    <w:rsid w:val="00E069CB"/>
    <w:rsid w:val="00E074FA"/>
    <w:rsid w:val="00E10596"/>
    <w:rsid w:val="00E11299"/>
    <w:rsid w:val="00E2399D"/>
    <w:rsid w:val="00E25210"/>
    <w:rsid w:val="00E30A99"/>
    <w:rsid w:val="00E30D99"/>
    <w:rsid w:val="00E311F1"/>
    <w:rsid w:val="00E326E6"/>
    <w:rsid w:val="00E32CD5"/>
    <w:rsid w:val="00E35ADA"/>
    <w:rsid w:val="00E35CB2"/>
    <w:rsid w:val="00E409D3"/>
    <w:rsid w:val="00E42294"/>
    <w:rsid w:val="00E44906"/>
    <w:rsid w:val="00E45793"/>
    <w:rsid w:val="00E45FCF"/>
    <w:rsid w:val="00E524C1"/>
    <w:rsid w:val="00E538CB"/>
    <w:rsid w:val="00E53DFB"/>
    <w:rsid w:val="00E636AE"/>
    <w:rsid w:val="00E63E39"/>
    <w:rsid w:val="00E64832"/>
    <w:rsid w:val="00E7050A"/>
    <w:rsid w:val="00E7276C"/>
    <w:rsid w:val="00E74EFB"/>
    <w:rsid w:val="00E7510E"/>
    <w:rsid w:val="00E8445E"/>
    <w:rsid w:val="00E85A7E"/>
    <w:rsid w:val="00E85B0E"/>
    <w:rsid w:val="00E87F33"/>
    <w:rsid w:val="00E90E81"/>
    <w:rsid w:val="00E94B79"/>
    <w:rsid w:val="00E94EA7"/>
    <w:rsid w:val="00E97AE9"/>
    <w:rsid w:val="00EB01FF"/>
    <w:rsid w:val="00EB6019"/>
    <w:rsid w:val="00EC159D"/>
    <w:rsid w:val="00EC54F8"/>
    <w:rsid w:val="00EC5F0C"/>
    <w:rsid w:val="00ED1144"/>
    <w:rsid w:val="00ED27EB"/>
    <w:rsid w:val="00ED3C4B"/>
    <w:rsid w:val="00ED3D08"/>
    <w:rsid w:val="00EE2438"/>
    <w:rsid w:val="00EE27A9"/>
    <w:rsid w:val="00EE3003"/>
    <w:rsid w:val="00EE3CD7"/>
    <w:rsid w:val="00EE6503"/>
    <w:rsid w:val="00EF0F07"/>
    <w:rsid w:val="00EF11F9"/>
    <w:rsid w:val="00EF1424"/>
    <w:rsid w:val="00EF1D69"/>
    <w:rsid w:val="00EF495A"/>
    <w:rsid w:val="00EF5F41"/>
    <w:rsid w:val="00F0092F"/>
    <w:rsid w:val="00F01F48"/>
    <w:rsid w:val="00F04406"/>
    <w:rsid w:val="00F069CB"/>
    <w:rsid w:val="00F107EA"/>
    <w:rsid w:val="00F1216A"/>
    <w:rsid w:val="00F13697"/>
    <w:rsid w:val="00F17EC3"/>
    <w:rsid w:val="00F21FBE"/>
    <w:rsid w:val="00F244EF"/>
    <w:rsid w:val="00F26CA8"/>
    <w:rsid w:val="00F26E89"/>
    <w:rsid w:val="00F312C3"/>
    <w:rsid w:val="00F32309"/>
    <w:rsid w:val="00F3398E"/>
    <w:rsid w:val="00F33B65"/>
    <w:rsid w:val="00F3794F"/>
    <w:rsid w:val="00F3796C"/>
    <w:rsid w:val="00F37BB5"/>
    <w:rsid w:val="00F406AB"/>
    <w:rsid w:val="00F4087E"/>
    <w:rsid w:val="00F428D3"/>
    <w:rsid w:val="00F42BAA"/>
    <w:rsid w:val="00F43999"/>
    <w:rsid w:val="00F44929"/>
    <w:rsid w:val="00F4585F"/>
    <w:rsid w:val="00F4598D"/>
    <w:rsid w:val="00F56FA3"/>
    <w:rsid w:val="00F61F64"/>
    <w:rsid w:val="00F664BF"/>
    <w:rsid w:val="00F67BD9"/>
    <w:rsid w:val="00F71C4F"/>
    <w:rsid w:val="00F7249A"/>
    <w:rsid w:val="00F731E8"/>
    <w:rsid w:val="00F75863"/>
    <w:rsid w:val="00F75FEE"/>
    <w:rsid w:val="00F764F2"/>
    <w:rsid w:val="00F77D17"/>
    <w:rsid w:val="00F80CA3"/>
    <w:rsid w:val="00F8178A"/>
    <w:rsid w:val="00F82853"/>
    <w:rsid w:val="00F84CAC"/>
    <w:rsid w:val="00F90F65"/>
    <w:rsid w:val="00F9155C"/>
    <w:rsid w:val="00F9623E"/>
    <w:rsid w:val="00FA0A88"/>
    <w:rsid w:val="00FA109A"/>
    <w:rsid w:val="00FA2C0C"/>
    <w:rsid w:val="00FA31D1"/>
    <w:rsid w:val="00FA52F8"/>
    <w:rsid w:val="00FA6919"/>
    <w:rsid w:val="00FB0367"/>
    <w:rsid w:val="00FB0DA6"/>
    <w:rsid w:val="00FC5489"/>
    <w:rsid w:val="00FC74A2"/>
    <w:rsid w:val="00FD3708"/>
    <w:rsid w:val="00FD6995"/>
    <w:rsid w:val="00FE2F34"/>
    <w:rsid w:val="00FE39C3"/>
    <w:rsid w:val="00FE41D6"/>
    <w:rsid w:val="00FE690A"/>
    <w:rsid w:val="00FF3408"/>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47F941AF-11E8-423D-8408-94C05EF5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516511"/>
    <w:pPr>
      <w:keepLines/>
      <w:widowControl w:val="0"/>
      <w:tabs>
        <w:tab w:val="left" w:pos="113"/>
      </w:tabs>
    </w:pPr>
    <w:rPr>
      <w:rFonts w:eastAsia="Calibri" w:cstheme="minorHAnsi"/>
      <w:sz w:val="20"/>
      <w:szCs w:val="20"/>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basedOn w:val="DefaultParagraphFont"/>
    <w:link w:val="ListParagraph"/>
    <w:uiPriority w:val="34"/>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61769">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1440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EF1D438E3C8C429D0E35EA334BEEBE" ma:contentTypeVersion="13" ma:contentTypeDescription="Create a new document." ma:contentTypeScope="" ma:versionID="dfae027325cffb784d7fb2e99952d018">
  <xsd:schema xmlns:xsd="http://www.w3.org/2001/XMLSchema" xmlns:xs="http://www.w3.org/2001/XMLSchema" xmlns:p="http://schemas.microsoft.com/office/2006/metadata/properties" xmlns:ns3="0823e71d-6647-4ba2-b3e5-f5b0555969b4" xmlns:ns4="ff6c11e1-6a6e-4cf6-ba67-2772ad6c7d29" targetNamespace="http://schemas.microsoft.com/office/2006/metadata/properties" ma:root="true" ma:fieldsID="6e608e1a41a6fcec5d3431be7b03bd33" ns3:_="" ns4:_="">
    <xsd:import namespace="0823e71d-6647-4ba2-b3e5-f5b0555969b4"/>
    <xsd:import namespace="ff6c11e1-6a6e-4cf6-ba67-2772ad6c7d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3e71d-6647-4ba2-b3e5-f5b0555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6c11e1-6a6e-4cf6-ba67-2772ad6c7d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F4DD968B-05A7-420B-A7ED-90BC39EFF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3e71d-6647-4ba2-b3e5-f5b0555969b4"/>
    <ds:schemaRef ds:uri="ff6c11e1-6a6e-4cf6-ba67-2772ad6c7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B5FF14-8F43-4107-A6BA-95AD4DC4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Isabelle Kayser</dc:creator>
  <cp:lastModifiedBy>Alisha Errance</cp:lastModifiedBy>
  <cp:revision>2</cp:revision>
  <cp:lastPrinted>2019-07-26T18:53:00Z</cp:lastPrinted>
  <dcterms:created xsi:type="dcterms:W3CDTF">2019-12-12T16:47:00Z</dcterms:created>
  <dcterms:modified xsi:type="dcterms:W3CDTF">2019-12-12T16:47:00Z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0x01010058EF1D438E3C8C429D0E35EA334BEEBE</vt:lpwstr>
  </property>
</Properties>
</file>